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Standard zakupów i zarządzania dostawcami</w:t>
      </w:r>
    </w:p>
    <w:p>
      <w:pPr>
        <w:jc w:val="center"/>
      </w:pPr>
      <w:r>
        <w:rPr>
          <w:b/>
        </w:rPr>
        <w:t>PROJEKT ROBOCZY — do dyskusji i weryfikacji prawnej</w:t>
      </w:r>
    </w:p>
    <w:p/>
    <w:p>
      <w:pPr>
        <w:pStyle w:val="Heading2"/>
      </w:pPr>
      <w:r>
        <w:t>§ 1. Cel</w:t>
      </w:r>
    </w:p>
    <w:p>
      <w:r>
        <w:t>Standard ma ograniczać konflikt interesów, ryzyko uzależnienia od dostawcy oraz decyzje oparte wyłącznie na cenie początkowej.</w:t>
      </w:r>
    </w:p>
    <w:p>
      <w:pPr>
        <w:pStyle w:val="Heading2"/>
      </w:pPr>
      <w:r>
        <w:t>§ 2. Zasady</w:t>
      </w:r>
    </w:p>
    <w:p>
      <w:pPr>
        <w:pStyle w:val="ListBullet"/>
      </w:pPr>
      <w:r>
        <w:t>uczciwa konkurencja i porównywalność ofert, gdy charakter zakupu na to pozwala;</w:t>
      </w:r>
    </w:p>
    <w:p>
      <w:pPr>
        <w:pStyle w:val="ListBullet"/>
      </w:pPr>
      <w:r>
        <w:t>zdefiniowane kryteria przed oceną ofert;</w:t>
      </w:r>
    </w:p>
    <w:p>
      <w:pPr>
        <w:pStyle w:val="ListBullet"/>
      </w:pPr>
      <w:r>
        <w:t>uwzględnianie całkowitego kosztu cyklu życia;</w:t>
      </w:r>
    </w:p>
    <w:p>
      <w:pPr>
        <w:pStyle w:val="ListBullet"/>
      </w:pPr>
      <w:r>
        <w:t>ujawnianie konfliktów interesów;</w:t>
      </w:r>
    </w:p>
    <w:p>
      <w:pPr>
        <w:pStyle w:val="ListBullet"/>
      </w:pPr>
      <w:r>
        <w:t>dokumentowanie istotnych decyzji;</w:t>
      </w:r>
    </w:p>
    <w:p>
      <w:pPr>
        <w:pStyle w:val="ListBullet"/>
      </w:pPr>
      <w:r>
        <w:t>ocena ryzyka dostawcy i ciągłości działania.</w:t>
      </w:r>
    </w:p>
    <w:p>
      <w:pPr>
        <w:pStyle w:val="Heading2"/>
      </w:pPr>
      <w:r>
        <w:t>§ 3. Kryteria</w:t>
      </w:r>
    </w:p>
    <w:p>
      <w:r>
        <w:t>Kryteria mogą obejmować: cenę, jakość, doświadczenie, termin, gwarancję, serwis, bezpieczeństwo, interoperacyjność, koszty utrzymania, możliwość migracji i ryzyko zależności.</w:t>
      </w:r>
    </w:p>
    <w:p>
      <w:pPr>
        <w:pStyle w:val="Heading2"/>
      </w:pPr>
      <w:r>
        <w:t>§ 4. Konflikt interesów</w:t>
      </w:r>
    </w:p>
    <w:p>
      <w:r>
        <w:t>Osoba uczestnicząca w ocenie ofert ujawnia konflikt interesów i wyłącza się zgodnie z Polityką konfliktu interesów.</w:t>
      </w:r>
    </w:p>
    <w:p>
      <w:pPr>
        <w:pStyle w:val="Heading2"/>
      </w:pPr>
      <w:r>
        <w:t>§ 5. Umowa i aneksy</w:t>
      </w:r>
    </w:p>
    <w:p>
      <w:r>
        <w:t>1. Przed zawarciem istotnej umowy należy określić zakres, odpowiedzialność, odbiór, płatności, gwarancje, zasady zmiany zakresu i warunki zakończenia współpracy.</w:t>
      </w:r>
    </w:p>
    <w:p>
      <w:r>
        <w:t>2. Istotne aneksy podlegają ponownej ocenie pod kątem kosztu i zasadności.</w:t>
      </w:r>
    </w:p>
    <w:p>
      <w:pPr>
        <w:pStyle w:val="Heading2"/>
      </w:pPr>
      <w:r>
        <w:t>§ 6. Vendor lock-in</w:t>
      </w:r>
    </w:p>
    <w:p>
      <w:r>
        <w:t>Przy systemach IT i usługach krytycznych należy ocenić możliwość zmiany dostawcy, eksportu danych, dostępności dokumentacji i kosztu migracji.</w:t>
      </w:r>
    </w:p>
    <w:p>
      <w:pPr>
        <w:pStyle w:val="Heading2"/>
      </w:pPr>
      <w:r>
        <w:t>§ 7. Ocena wykonania</w:t>
      </w:r>
    </w:p>
    <w:p>
      <w:r>
        <w:t>Po zakończeniu istotnego zamówienia należy ocenić wykonanie zakresu, termin, koszt, jakość i problemy. Wynik może być uwzględniany przy kolejnych postępowaniach, z poszanowaniem zasady równego traktowania oferentów.</w:t>
      </w:r>
    </w:p>
    <w:sectPr w:rsidR="00FC693F" w:rsidRPr="0006063C" w:rsidSect="00034616"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