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Standard IT, danych i technologii</w:t>
      </w:r>
    </w:p>
    <w:p>
      <w:pPr>
        <w:jc w:val="center"/>
      </w:pPr>
      <w:r>
        <w:rPr>
          <w:b/>
        </w:rPr>
        <w:t>PROJEKT ROBOCZY — do dyskusji i weryfikacji prawnej</w:t>
      </w:r>
    </w:p>
    <w:p/>
    <w:p>
      <w:r>
        <w:rPr>
          <w:b/>
        </w:rPr>
        <w:t xml:space="preserve">UWAGA: </w:t>
      </w:r>
      <w:r>
        <w:t>Dokument ustanawia zasady governance IT. Nie zastępuje instrukcji bezpieczeństwa, polityk ochrony danych ani procedur administratora systemów.</w:t>
      </w:r>
    </w:p>
    <w:p>
      <w:pPr>
        <w:pStyle w:val="Heading2"/>
      </w:pPr>
      <w:r>
        <w:t>§ 1. Cel</w:t>
      </w:r>
    </w:p>
    <w:p>
      <w:r>
        <w:t>Celem jest zapewnienie, aby technologia pozostawała pod kontrolą Spółdzielni, wspierała jej działalność i nie tworzyła nieakceptowalnego ryzyka operacyjnego.</w:t>
      </w:r>
    </w:p>
    <w:p>
      <w:pPr>
        <w:pStyle w:val="Heading2"/>
      </w:pPr>
      <w:r>
        <w:t>§ 2. Role</w:t>
      </w:r>
    </w:p>
    <w:p>
      <w:r>
        <w:t>1. Rada ocenia kierunek, ryzyka, koszty, zależność od dostawców i efekty projektów.</w:t>
      </w:r>
    </w:p>
    <w:p>
      <w:r>
        <w:t>2. Zarząd odpowiada za wybór rozwiązania i wykonanie w granicach kompetencji.</w:t>
      </w:r>
    </w:p>
    <w:p>
      <w:r>
        <w:t>3. Wykonawca dostarcza usługę na podstawie określonego zakresu, SLA i zasad bezpieczeństwa.</w:t>
      </w:r>
    </w:p>
    <w:p>
      <w:pPr>
        <w:pStyle w:val="Heading2"/>
      </w:pPr>
      <w:r>
        <w:t>§ 3. Dane</w:t>
      </w:r>
    </w:p>
    <w:p>
      <w:r>
        <w:t>1. Dane Spółdzielni powinny pozostawać pod jej kontrolą.</w:t>
      </w:r>
    </w:p>
    <w:p>
      <w:r>
        <w:t>2. Umowy i systemy powinny, w miarę możliwości, zapewniać możliwość eksportu danych w użytecznym formacie.</w:t>
      </w:r>
    </w:p>
    <w:p>
      <w:r>
        <w:t>3. Należy unikać sytuacji, w której tylko jeden dostawca posiada wiedzę lub techniczną możliwość odtworzenia danych.</w:t>
      </w:r>
    </w:p>
    <w:p>
      <w:pPr>
        <w:pStyle w:val="Heading2"/>
      </w:pPr>
      <w:r>
        <w:t>§ 4. Dostęp</w:t>
      </w:r>
    </w:p>
    <w:p>
      <w:r>
        <w:t>1. Członkowie organów nie uzyskują administracyjnego dostępu do systemów produkcyjnych wyłącznie z racji pełnionej funkcji.</w:t>
      </w:r>
    </w:p>
    <w:p>
      <w:r>
        <w:t>2. Dostęp do informacji niezbędnych do kontroli może być zapewniony w sposób kontrolowany, np. poprzez raporty, demonstracje, dostęp tylko do odczytu lub audyt.</w:t>
      </w:r>
    </w:p>
    <w:p>
      <w:r>
        <w:t>3. Dostępy powinny być imienne, ograniczone do niezbędnego zakresu i możliwe do odebrania.</w:t>
      </w:r>
    </w:p>
    <w:p>
      <w:pPr>
        <w:pStyle w:val="Heading2"/>
      </w:pPr>
      <w:r>
        <w:t>§ 5. Bezpieczeństwo i ciągłość</w:t>
      </w:r>
    </w:p>
    <w:p>
      <w:r>
        <w:t>Przy systemach istotnych należy uwzględniać co najmniej: kopie zapasowe, odtwarzanie, kontrolę dostępu, aktualizacje, rejestrację istotnych zdarzeń, procedury awaryjne oraz zależność od dostawcy.</w:t>
      </w:r>
    </w:p>
    <w:p>
      <w:pPr>
        <w:pStyle w:val="Heading2"/>
      </w:pPr>
      <w:r>
        <w:t>§ 6. Ochrona danych</w:t>
      </w:r>
    </w:p>
    <w:p>
      <w:r>
        <w:t>Dane osobowe są przetwarzane wyłącznie w zakresie niezbędnym do wykonywania funkcji i zgodnie z właściwymi upoważnieniami. Dokumenty zawierające dane osobowe powinny być chronione przed nieuprawnionym dostępem.</w:t>
      </w:r>
    </w:p>
    <w:p>
      <w:pPr>
        <w:pStyle w:val="Heading2"/>
      </w:pPr>
      <w:r>
        <w:t>§ 7. Sztuczna inteligencja</w:t>
      </w:r>
    </w:p>
    <w:p>
      <w:r>
        <w:t>1. Nie należy wprowadzać do publicznych lub niezatwierdzonych usług AI danych osobowych, informacji poufnych ani dokumentów Spółdzielni.</w:t>
      </w:r>
    </w:p>
    <w:p>
      <w:r>
        <w:t>2. Wynik wygenerowany przez AI nie jest sam w sobie źródłem prawdy; osoba wykorzystująca go odpowiada za weryfikację treści.</w:t>
      </w:r>
    </w:p>
    <w:p>
      <w:r>
        <w:t>3. W przypadku użycia AI w procesach Spółdzielni należy określić cel, zakres danych, dostawcę, sposób kontroli i odpowiedzialność człowieka.</w:t>
      </w:r>
    </w:p>
    <w:p>
      <w:pPr>
        <w:pStyle w:val="Heading2"/>
      </w:pPr>
      <w:r>
        <w:t>§ 8. Dokumentacja i wyjście z systemu</w:t>
      </w:r>
    </w:p>
    <w:p>
      <w:r>
        <w:t>Przy zakupie systemu krytycznego należy ocenić: dokumentację, możliwość migracji, eksport danych, warunki zakończenia umowy, dostęp do danych po zakończeniu współpracy i koszt zmiany dostawcy.</w:t>
      </w:r>
    </w:p>
    <w:sectPr w:rsidR="00FC693F" w:rsidRPr="0006063C" w:rsidSect="00034616">
      <w:pgSz w:w="12240" w:h="15840"/>
      <w:pgMar w:top="1247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