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skarg i wniosków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Poprawki po świeżym przeglądzie</w:t>
      </w:r>
      <w:r>
        <w:t>: § 3 ust. 5 (termin odpowiedzi zgrany ze Statutem § 26 — 1 miesiąc, zamiast ustalania od nowa), § 4 ust. 3 (powiązane z tym samym otwartym pytaniem w Procedurze zgłaszania nieprawidłowości).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Procedura zapewnia jednolity, możliwy do odtworzenia sposób obsługi skarg i wniosków członków Spółdzielni.</w:t>
      </w:r>
    </w:p>
    <w:p>
      <w:pPr>
        <w:pStyle w:val="Heading2"/>
      </w:pPr>
      <w:r>
        <w:t>§ 2. Rejestr</w:t>
      </w:r>
    </w:p>
    <w:p>
      <w:r>
        <w:t>1. Każda skarga lub wniosek otrzymuje numer sprawy i datę wpływu.</w:t>
      </w:r>
    </w:p>
    <w:p>
      <w:r>
        <w:t>2. Rejestr zawiera co najmniej: datę, przedmiot, właściwość, status i datę odpowiedzi, z ograniczeniem dostępu do danych osobowych.</w:t>
      </w:r>
    </w:p>
    <w:p>
      <w:pPr>
        <w:pStyle w:val="Heading2"/>
      </w:pPr>
      <w:r>
        <w:t>§ 3. Obsługa</w:t>
      </w:r>
    </w:p>
    <w:p>
      <w:r>
        <w:t>1. Skarga powinna zostać potwierdzona, jeżeli pozwala na to forma kontaktu.</w:t>
      </w:r>
    </w:p>
    <w:p>
      <w:r>
        <w:t>2. Sprawa jest kierowana do właściwego organu lub jednostki.</w:t>
      </w:r>
    </w:p>
    <w:p>
      <w:r>
        <w:t>3. Osoba, której dotyczy skarga, nie powinna samodzielnie rozpatrywać własnej sprawy.</w:t>
      </w:r>
    </w:p>
    <w:p>
      <w:r>
        <w:t>4. Odpowiedź powinna być rzeczowa, zrozumiała i wskazywać podstawę rozstrzygnięcia.</w:t>
      </w:r>
    </w:p>
    <w:p>
      <w:r>
        <w:t xml:space="preserve">5. </w:t>
      </w:r>
      <w:r>
        <w:rPr>
          <w:b/>
        </w:rPr>
        <w:t>Termin odpowiedzi: 1 miesiąc</w:t>
      </w:r>
      <w:r>
        <w:t xml:space="preserve"> od dnia wpływu — zgodny z terminem już obowiązującym dla wniosków członków kierowanych do Zarządu (Statut § 26 ust. 1), nie ustalany od nowa niezależnie. Jeżeli termin nie może zostać zachowany, informuje się o przyczynie i przewidywanym terminie. </w:t>
      </w:r>
      <w:r>
        <w:rPr>
          <w:i/>
        </w:rPr>
        <w:t>(Doprecyzowane po audycie — pierwotnie `[●]`, mimo że statut już ten termin określa dla części spraw objętych tą Procedurą.)</w:t>
      </w:r>
    </w:p>
    <w:p>
      <w:pPr>
        <w:pStyle w:val="Heading2"/>
      </w:pPr>
      <w:r>
        <w:t>§ 4. Skargi na organy</w:t>
      </w:r>
    </w:p>
    <w:p>
      <w:r>
        <w:t>1. Skargi na Zarząd rozpatruje organ właściwy zgodnie ze Statutem i prawem.</w:t>
      </w:r>
    </w:p>
    <w:p>
      <w:r>
        <w:t>2. Skargi na członka Rady rozpatruje organ właściwy, z wyłączeniem zainteresowanego.</w:t>
      </w:r>
    </w:p>
    <w:p>
      <w:r>
        <w:t xml:space="preserve">3. Skargi dotyczące całego organu wymagają wskazania niezależnego trybu rozpatrzenia [●] — </w:t>
      </w:r>
      <w:r>
        <w:rPr>
          <w:b/>
        </w:rPr>
        <w:t>to samo nierozstrzygnięte pytanie co w Procedurze zgłaszania nieprawidłowości</w:t>
      </w:r>
      <w:r>
        <w:t xml:space="preserve"> § 3 ust. 3. Oba dokumenty powinny dostać </w:t>
      </w:r>
      <w:r>
        <w:rPr>
          <w:b/>
        </w:rPr>
        <w:t>tę samą odpowiedź</w:t>
      </w:r>
      <w:r>
        <w:t xml:space="preserve"> — nie rozstrzygać tego osobno w każdym z nich.</w:t>
      </w:r>
    </w:p>
    <w:p>
      <w:pPr>
        <w:pStyle w:val="Heading2"/>
      </w:pPr>
      <w:r>
        <w:t>§ 5. Powtarzające się sprawy i zachowania agresywne</w:t>
      </w:r>
    </w:p>
    <w:p>
      <w:r>
        <w:t>1. W sprawie identycznej, bez nowych okoliczności, można odwołać się do wcześniejszej odpowiedzi.</w:t>
      </w:r>
    </w:p>
    <w:p>
      <w:r>
        <w:t>2. W przypadku gróźb lub agresji można ograniczyć kontakt do formy pisemnej, bez ograniczania praw członkowskich.</w:t>
      </w:r>
    </w:p>
    <w:p>
      <w:pPr>
        <w:pStyle w:val="Heading2"/>
      </w:pPr>
      <w:r>
        <w:t>§ 6. Środki dalsze</w:t>
      </w:r>
    </w:p>
    <w:p>
      <w:r>
        <w:t>Odpowiedź powinna wskazywać dostępne środki odwoławcze lub inne właściwe tryby postępowania, jeżeli wynikają z prawa lub Statutu.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