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Standard podejmowania i dokumentowania decyzji</w:t>
      </w:r>
    </w:p>
    <w:p>
      <w:r>
        <w:rPr>
          <w:b/>
        </w:rPr>
        <w:t>PROJEKT ROBOCZY — do dyskusji i weryfikacji prawnej</w:t>
      </w:r>
    </w:p>
    <w:p>
      <w:r>
        <w:rPr>
          <w:b/>
        </w:rPr>
        <w:t>Poprawki po świeżym przeglądzie</w:t>
      </w:r>
      <w:r>
        <w:t>: § 2 (orientacyjny próg „istotności" powiązany z progiem regulaminu zakupowego), nowy § 5a (archiwizacja kart decyzji).</w:t>
      </w:r>
    </w:p>
    <w:p>
      <w:r>
        <w:rPr>
          <w:b/>
        </w:rPr>
        <w:t>Tryb przyjęcia (propozycja)</w:t>
      </w:r>
      <w:r>
        <w:t>: uchwała Rady Nadzorczej na podstawie § 49 ust. 1 pkt 21 Statutu — do potwierdzenia łącznie z trybem przyjęcia Kodeksu, patrz „Kodeks odpowiedzialnego sprawowania mandatu" § 15.</w:t>
      </w:r>
    </w:p>
    <w:p>
      <w:pPr>
        <w:pStyle w:val="Heading2"/>
      </w:pPr>
      <w:r>
        <w:t>§ 1. Cel</w:t>
      </w:r>
    </w:p>
    <w:p>
      <w:r>
        <w:t>Standard ma zapewnić, aby istotne decyzje były oparte na wystarczających informacjach, analizie wariantów i ryzyka oraz pozostawiały czytelny ślad decyzyjny.</w:t>
      </w:r>
    </w:p>
    <w:p>
      <w:pPr>
        <w:pStyle w:val="Heading2"/>
      </w:pPr>
      <w:r>
        <w:t>§ 2. Kiedy stosować</w:t>
      </w:r>
    </w:p>
    <w:p>
      <w:r>
        <w:t>Standard stosuje się w szczególności do istotnych inwestycji, zakupów, zmian systemów obsługi, zobowiązań długoterminowych, projektów IT i decyzji o znaczącym wpływie na członków.</w:t>
      </w:r>
    </w:p>
    <w:p>
      <w:r>
        <w:rPr>
          <w:b/>
        </w:rPr>
        <w:t>Orientacyjny próg „istotności" (dodane po audycie)</w:t>
      </w:r>
      <w:r>
        <w:t xml:space="preserve">: pojęcie nie jest zdefiniowane liczbowo, co w praktyce zostawia ocenę Zarządowi/ Radzie za każdym razem od nowa. Jako punkt odniesienia proponuje się wartość </w:t>
      </w:r>
      <w:r>
        <w:rPr>
          <w:b/>
        </w:rPr>
        <w:t>50 000 zł</w:t>
      </w:r>
      <w:r>
        <w:t xml:space="preserve"> — próg, od którego regulamin zakupowy Spółdzielni („Regulamin wyboru wykonawców robót, dostaw i usług") wymaga już pełnego trybu przetargowego — zamiast tworzyć osobny, niepowiązany próg. Nie jest to sztywna reguła: sprawy poniżej tej kwoty, ale o dużym wpływie niefinansowym (np. zmiana dostawcy systemu obsługi czynszów), również powinny być traktowane jako istotne.</w:t>
      </w:r>
    </w:p>
    <w:p>
      <w:pPr>
        <w:pStyle w:val="Heading2"/>
      </w:pPr>
      <w:r>
        <w:t>§ 3. Minimalny model decyzji</w:t>
      </w:r>
    </w:p>
    <w:p>
      <w:r>
        <w:t>1. Problem / cel.</w:t>
      </w:r>
    </w:p>
    <w:p>
      <w:r>
        <w:t>2. Dane i założenia.</w:t>
      </w:r>
    </w:p>
    <w:p>
      <w:r>
        <w:t>3. Dostępne warianty.</w:t>
      </w:r>
    </w:p>
    <w:p>
      <w:r>
        <w:t>4. Koszt całkowity i koszt cyklu życia.</w:t>
      </w:r>
    </w:p>
    <w:p>
      <w:r>
        <w:t>5. Ryzyka i działania ograniczające.</w:t>
      </w:r>
    </w:p>
    <w:p>
      <w:r>
        <w:t>6. Zgodność prawna i statutowa.</w:t>
      </w:r>
    </w:p>
    <w:p>
      <w:r>
        <w:t>7. Rekomendacja i uzasadnienie.</w:t>
      </w:r>
    </w:p>
    <w:p>
      <w:r>
        <w:t>8. Decyzja właściwego organu.</w:t>
      </w:r>
    </w:p>
    <w:p>
      <w:r>
        <w:t>9. Odpowiedzialność za wykonanie.</w:t>
      </w:r>
    </w:p>
    <w:p>
      <w:r>
        <w:t>10. Termin i sposób przeglądu rezultatu.</w:t>
      </w:r>
    </w:p>
    <w:p>
      <w:pPr>
        <w:pStyle w:val="Heading2"/>
      </w:pPr>
      <w:r>
        <w:t>§ 4. Ślad decyzyjny</w:t>
      </w:r>
    </w:p>
    <w:p>
      <w:r>
        <w:t>Dokumentacja powinna pozwalać osobie, która nie uczestniczyła w pierwotnej dyskusji, odtworzyć: co rozstrzygano, na jakich danych, jakie warianty rozważano, jakie ryzyka zidentyfikowano i dlaczego wybrano dane rozwiązanie.</w:t>
      </w:r>
    </w:p>
    <w:p>
      <w:pPr>
        <w:pStyle w:val="Heading2"/>
      </w:pPr>
      <w:r>
        <w:t>§ 5. Eksperci</w:t>
      </w:r>
    </w:p>
    <w:p>
      <w:r>
        <w:t>Jeżeli decyzja wymaga wiedzy specjalistycznej, organ może zasięgnąć opinii wewnętrznego eksperta, niezależnego eksperta lub audytora. Opinie powinny wskazywać zakres ograniczeń i założeń.</w:t>
      </w:r>
    </w:p>
    <w:p>
      <w:pPr>
        <w:pStyle w:val="Heading2"/>
      </w:pPr>
      <w:r>
        <w:t>§ 5a. Archiwizacja kart decyzji</w:t>
      </w:r>
    </w:p>
    <w:p>
      <w:r>
        <w:t xml:space="preserve">Wypełnione karty decyzji przechowuje się w sposób umożliwiający odtworzenie historii sprawy — analogicznie do innych dokumentów organizacyjnych Spółdzielni (np. protokoły Walnego Zgromadzenia — </w:t>
      </w:r>
      <w:r>
        <w:rPr>
          <w:b/>
        </w:rPr>
        <w:t>10 lat</w:t>
      </w:r>
      <w:r>
        <w:t xml:space="preserve">, Statut § 37 ust. 6). Właściciela tego obowiązku (np. PM) i dokładny okres przechowywania ustala się w uchwale przyjmującej Standard [●]. </w:t>
      </w:r>
      <w:r>
        <w:rPr>
          <w:i/>
        </w:rPr>
        <w:t>(Dodane po audycie — pierwotna wersja nie precyzowała, kto i jak długo przechowuje karty.)</w:t>
      </w:r>
    </w:p>
    <w:p>
      <w:pPr>
        <w:pStyle w:val="Heading2"/>
      </w:pPr>
      <w:r>
        <w:t>§ 6. Przegląd po realizacji</w:t>
      </w:r>
    </w:p>
    <w:p>
      <w:r>
        <w:t>Przy przedsięwzięciach istotnych należy, w miarę możliwości, porównać planowane i rzeczywiste: koszt, termin, zakres, jakość, ryzyka i efekty. Wnioski powinny być wykorzystywane przy kolejnych decyzjach.</w:t>
      </w:r>
    </w:p>
    <w:p>
      <w:pPr>
        <w:pStyle w:val="Heading1"/>
      </w:pPr>
      <w:r>
        <w:t>Załącznik — karta decyzji</w:t>
      </w:r>
    </w:p>
    <w:p>
      <w:r>
        <w:t>Sprawa / projekt: __________________</w:t>
      </w:r>
    </w:p>
    <w:p>
      <w:r>
        <w:t>Cel: __________________</w:t>
      </w:r>
    </w:p>
    <w:p>
      <w:r>
        <w:t>Warianty: __________________</w:t>
      </w:r>
    </w:p>
    <w:p>
      <w:r>
        <w:t>Koszt początkowy / całkowity: __________________</w:t>
      </w:r>
    </w:p>
    <w:p>
      <w:r>
        <w:t>Ryzyka: __________________</w:t>
      </w:r>
    </w:p>
    <w:p>
      <w:r>
        <w:t>Opinia ekspercka: __________________</w:t>
      </w:r>
    </w:p>
    <w:p>
      <w:r>
        <w:t>Rekomendacja: __________________</w:t>
      </w:r>
    </w:p>
    <w:p>
      <w:r>
        <w:t>Decyzja / uchwała: __________________</w:t>
      </w:r>
    </w:p>
    <w:p>
      <w:r>
        <w:t>Odpowiedzialny za wykonanie: __________________</w:t>
      </w:r>
    </w:p>
    <w:p>
      <w:r>
        <w:t>Termin przeglądu: __________________</w:t>
      </w:r>
    </w:p>
    <w:p>
      <w:r>
        <w:t>Wynik po realizacji: 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