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Standard zakupów i zarządzania dostawcami</w:t>
      </w:r>
    </w:p>
    <w:p>
      <w:r>
        <w:rPr>
          <w:b/>
        </w:rPr>
        <w:t>PROJEKT ROBOCZY — do dyskusji i weryfikacji prawnej</w:t>
      </w:r>
    </w:p>
    <w:p>
      <w:r>
        <w:rPr>
          <w:b/>
        </w:rPr>
        <w:t>Poprawki po świeżym przeglądzie</w:t>
      </w:r>
      <w:r>
        <w:t>: § 6 doprecyzowany, żeby nie dublował się z odrębnym Standardem IT.</w:t>
      </w:r>
    </w:p>
    <w:p>
      <w:r>
        <w:rPr>
          <w:b/>
        </w:rPr>
        <w:t>Tryb przyjęcia (propozycja)</w:t>
      </w:r>
      <w:r>
        <w:t>: uchwała Rady Nadzorczej na podstawie § 49 ust. 1 pkt 21 Statutu — do potwierdzenia łącznie z trybem przyjęcia Kodeksu, patrz „Kodeks odpowiedzialnego sprawowania mandatu" § 15.</w:t>
      </w:r>
    </w:p>
    <w:p>
      <w:pPr>
        <w:pStyle w:val="Heading2"/>
      </w:pPr>
      <w:r>
        <w:t>§ 1. Cel</w:t>
      </w:r>
    </w:p>
    <w:p>
      <w:r>
        <w:t>Standard ma ograniczać konflikt interesów, ryzyko uzależnienia od dostawcy oraz decyzje oparte wyłącznie na cenie początkowej.</w:t>
      </w:r>
    </w:p>
    <w:p>
      <w:r>
        <w:rPr>
          <w:b/>
        </w:rPr>
        <w:t>Relacja do obowiązującego regulaminu zakupowego.</w:t>
      </w:r>
      <w:r>
        <w:t xml:space="preserve"> Ten Standard </w:t>
      </w:r>
      <w:r>
        <w:rPr>
          <w:b/>
        </w:rPr>
        <w:t>uzupełnia</w:t>
      </w:r>
      <w:r>
        <w:t xml:space="preserve">, a nie zastępuje, już obowiązujący „Regulamin wyboru wykonawców robót, dostaw i usług" (uchwała Rady Nadzorczej nr 62/R/26), który wiążąco reguluje tryby postępowania i progi kwotowe: zamówienie z wolnej ręki do 5 000 zł, zapytanie o cenę do 50 000 zł, powyżej — przetarg prowadzony przez Komisję Przetargową. </w:t>
      </w:r>
      <w:r>
        <w:rPr>
          <w:b/>
        </w:rPr>
        <w:t>W zakresie progów kwotowych, trybów postępowania i składu Komisji Przetargowej rozstrzyga wyłącznie tamten regulamin.</w:t>
      </w:r>
      <w:r>
        <w:t xml:space="preserve"> Niniejszy Standard dodaje do niego kryteria jakościowe i zasady zarządzania relacją z dostawcą (kryteria oceny, koszt cyklu życia, ocena wykonania, vendor lock-in), które nie są przedmiotem regulaminu zakupowego — nie zmienia progów ani trybów w nim określonych. W razie sprzeczności między tymi dwoma dokumentami pierwszeństwo ma Regulamin wyboru wykonawców jako dokument bezpośrednio umocowany w § 49 ust. 1 pkt 18 Statutu.</w:t>
      </w:r>
    </w:p>
    <w:p>
      <w:pPr>
        <w:pStyle w:val="Heading2"/>
      </w:pPr>
      <w:r>
        <w:t>§ 2. Zasady</w:t>
      </w:r>
    </w:p>
    <w:p>
      <w:r>
        <w:t>uczciwa konkurencja i porównywalność ofert, gdy charakter zakupu na to pozwala;</w:t>
      </w:r>
    </w:p>
    <w:p>
      <w:r>
        <w:t>zdefiniowane kryteria przed oceną ofert;</w:t>
      </w:r>
    </w:p>
    <w:p>
      <w:r>
        <w:t>uwzględnianie całkowitego kosztu cyklu życia;</w:t>
      </w:r>
    </w:p>
    <w:p>
      <w:r>
        <w:t>ujawnianie konfliktów interesów;</w:t>
      </w:r>
    </w:p>
    <w:p>
      <w:r>
        <w:t>dokumentowanie istotnych decyzji;</w:t>
      </w:r>
    </w:p>
    <w:p>
      <w:r>
        <w:t>ocena ryzyka dostawcy i ciągłości działania.</w:t>
      </w:r>
    </w:p>
    <w:p>
      <w:pPr>
        <w:pStyle w:val="Heading2"/>
      </w:pPr>
      <w:r>
        <w:t>§ 3. Kryteria</w:t>
      </w:r>
    </w:p>
    <w:p>
      <w:r>
        <w:t>Kryteria mogą obejmować: cenę, jakość, doświadczenie, termin, gwarancję, serwis, bezpieczeństwo, interoperacyjność, koszty utrzymania, możliwość migracji i ryzyko zależności.</w:t>
      </w:r>
    </w:p>
    <w:p>
      <w:pPr>
        <w:pStyle w:val="Heading2"/>
      </w:pPr>
      <w:r>
        <w:t>§ 4. Konflikt interesów</w:t>
      </w:r>
    </w:p>
    <w:p>
      <w:r>
        <w:t>Osoba uczestnicząca w ocenie ofert ujawnia konflikt interesów i wyłącza się zgodnie z Polityką konfliktu interesów.</w:t>
      </w:r>
    </w:p>
    <w:p>
      <w:pPr>
        <w:pStyle w:val="Heading2"/>
      </w:pPr>
      <w:r>
        <w:t>§ 5. Umowa i aneksy</w:t>
      </w:r>
    </w:p>
    <w:p>
      <w:r>
        <w:t>1. Przed zawarciem istotnej umowy należy określić zakres, odpowiedzialność, odbiór, płatności, gwarancje, zasady zmiany zakresu i warunki zakończenia współpracy.</w:t>
      </w:r>
    </w:p>
    <w:p>
      <w:r>
        <w:t>2. Istotne aneksy podlegają ponownej ocenie pod kątem kosztu i zasadności.</w:t>
      </w:r>
    </w:p>
    <w:p>
      <w:pPr>
        <w:pStyle w:val="Heading2"/>
      </w:pPr>
      <w:r>
        <w:t>§ 6. Vendor lock-in</w:t>
      </w:r>
    </w:p>
    <w:p>
      <w:r>
        <w:t>Przy systemach IT i usługach krytycznych należy ocenić możliwość zmiany dostawcy, eksportu danych, dostępności dokumentacji i kosztu migracji. Szczegółowe zasady dla systemów IT — patrz „Standard IT, danych i technologii" § 3 i § 8; ten paragraf stosuje tę samą zasadę do zakupów spoza IT (np. usług serwisowych, zarządzania nieruchomością), żeby nie ograniczać jej wyłącznie do technologii.</w:t>
      </w:r>
    </w:p>
    <w:p>
      <w:pPr>
        <w:pStyle w:val="Heading2"/>
      </w:pPr>
      <w:r>
        <w:t>§ 7. Ocena wykonania</w:t>
      </w:r>
    </w:p>
    <w:p>
      <w:r>
        <w:t>Po zakończeniu istotnego zamówienia należy ocenić wykonanie zakresu, termin, koszt, jakość i problemy. Wynik może być uwzględniany przy kolejnych postępowaniach, z poszanowaniem zasady równego traktowania oferentów.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