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Standard IT, danych i technologii</w:t>
      </w:r>
    </w:p>
    <w:p>
      <w:r>
        <w:rPr>
          <w:b/>
        </w:rPr>
        <w:t>PROJEKT ROBOCZY — do dyskusji i weryfikacji prawnej</w:t>
      </w:r>
    </w:p>
    <w:p>
      <w:r>
        <w:rPr>
          <w:b/>
        </w:rPr>
        <w:t xml:space="preserve">UWAGA: </w:t>
      </w:r>
      <w:r>
        <w:t>Dokument ustanawia zasady governance IT. Nie zastępuje instrukcji bezpieczeństwa, polityk ochrony danych ani procedur administratora systemów.</w:t>
      </w:r>
    </w:p>
    <w:p>
      <w:r>
        <w:rPr>
          <w:b/>
        </w:rPr>
        <w:t>Tryb przyjęcia (propozycja)</w:t>
      </w:r>
      <w:r>
        <w:t>: uchwała Rady Nadzorczej na podstawie § 49 ust. 1 pkt 21 Statutu — do potwierdzenia łącznie z trybem przyjęcia Kodeksu, patrz „Kodeks odpowiedzialnego sprawowania mandatu" § 15. Zasada z Kodeksu § 6 (nadzór ekspercki bez przejmowania wykonawstwa) dotyczy jednolicie wszystkich dziedzin wiedzy specjalistycznej w Radzie, nie tylko IT — ten Standard opisuje jej zastosowanie konkretnie do systemów i danych, na tej samej zasadzie co odrębne standardy mogłyby opisywać jej zastosowanie np. do spraw budowlanych czy finansowych.</w:t>
      </w:r>
    </w:p>
    <w:p>
      <w:r>
        <w:rPr>
          <w:b/>
        </w:rPr>
        <w:t>Poprawki po świeżym przeglądzie</w:t>
      </w:r>
      <w:r>
        <w:t>: § 2 zakotwiczony w istniejącym łańcuchu decyzyjnym dla inwestycji (WZ→RN→Zarząd), § 7 — oznaczona luka (brak wskazania, kto zatwierdza listę dozwolonych usług AI).</w:t>
      </w:r>
    </w:p>
    <w:p>
      <w:pPr>
        <w:pStyle w:val="Heading2"/>
      </w:pPr>
      <w:r>
        <w:t>§ 1. Cel</w:t>
      </w:r>
    </w:p>
    <w:p>
      <w:r>
        <w:t>Celem jest zapewnienie, aby technologia pozostawała pod kontrolą Spółdzielni, wspierała jej działalność i nie tworzyła nieakceptowalnego ryzyka operacyjnego.</w:t>
      </w:r>
    </w:p>
    <w:p>
      <w:pPr>
        <w:pStyle w:val="Heading2"/>
      </w:pPr>
      <w:r>
        <w:t>§ 2. Role</w:t>
      </w:r>
    </w:p>
    <w:p>
      <w:r>
        <w:t>1. Rada ocenia kierunek, ryzyka, koszty, zależność od dostawców i efekty projektów — w ramach swojej ustawowej roli nadzorczej (Statut § 49) oraz uchwalania rocznego planu gospodarczego, w którym mieści się budżet na inwestycje IT.</w:t>
      </w:r>
    </w:p>
    <w:p>
      <w:r>
        <w:t>2. Zarząd odpowiada za wybór rozwiązania i wykonanie w granicach kompetencji — przygotowuje projekt planu i realizuje go operacyjnie (Statut § 57).</w:t>
      </w:r>
    </w:p>
    <w:p>
      <w:r>
        <w:t>3. Wykonawca dostarcza usługę na podstawie określonego zakresu, SLA i zasad bezpieczeństwa.</w:t>
      </w:r>
    </w:p>
    <w:p>
      <w:r>
        <w:rPr>
          <w:i/>
        </w:rPr>
        <w:t>(Doprecyzowane po audycie: podział ról odpowiada łańcuchowi decyzyjnemu już opisanemu dla inwestycji ogółem — Walne Zgromadzenie wyznacza kierunek rozwoju i limit zadłużenia, Rada Nadzorcza uchwala roczny plan gospodarczy z budżetem inwestycyjnym, Zarząd przygotowuje projekt i wykonuje — ten Standard nie tworzy nowej ścieżki decyzyjnej dla IT, tylko stosuje istniejącą.)</w:t>
      </w:r>
    </w:p>
    <w:p>
      <w:pPr>
        <w:pStyle w:val="Heading2"/>
      </w:pPr>
      <w:r>
        <w:t>§ 3. Dane</w:t>
      </w:r>
    </w:p>
    <w:p>
      <w:r>
        <w:t>1. Dane Spółdzielni powinny pozostawać pod jej kontrolą.</w:t>
      </w:r>
    </w:p>
    <w:p>
      <w:r>
        <w:t>2. Umowy i systemy powinny, w miarę możliwości, zapewniać możliwość eksportu danych w użytecznym formacie.</w:t>
      </w:r>
    </w:p>
    <w:p>
      <w:r>
        <w:t>3. Należy unikać sytuacji, w której tylko jeden dostawca posiada wiedzę lub techniczną możliwość odtworzenia danych.</w:t>
      </w:r>
    </w:p>
    <w:p>
      <w:pPr>
        <w:pStyle w:val="Heading2"/>
      </w:pPr>
      <w:r>
        <w:t>§ 4. Dostęp</w:t>
      </w:r>
    </w:p>
    <w:p>
      <w:r>
        <w:t>1. Członkowie organów nie uzyskują administracyjnego dostępu do systemów produkcyjnych wyłącznie z racji pełnionej funkcji.</w:t>
      </w:r>
    </w:p>
    <w:p>
      <w:r>
        <w:t>2. Dostęp do informacji niezbędnych do kontroli może być zapewniony w sposób kontrolowany, np. poprzez raporty, demonstracje, dostęp tylko do odczytu lub audyt.</w:t>
      </w:r>
    </w:p>
    <w:p>
      <w:r>
        <w:t>3. Dostępy powinny być imienne, ograniczone do niezbędnego zakresu i możliwe do odebrania.</w:t>
      </w:r>
    </w:p>
    <w:p>
      <w:pPr>
        <w:pStyle w:val="Heading2"/>
      </w:pPr>
      <w:r>
        <w:t>§ 5. Bezpieczeństwo i ciągłość</w:t>
      </w:r>
    </w:p>
    <w:p>
      <w:r>
        <w:t>Przy systemach istotnych należy uwzględniać co najmniej: kopie zapasowe, odtwarzanie, kontrolę dostępu, aktualizacje, rejestrację istotnych zdarzeń, procedury awaryjne oraz zależność od dostawcy.</w:t>
      </w:r>
    </w:p>
    <w:p>
      <w:pPr>
        <w:pStyle w:val="Heading2"/>
      </w:pPr>
      <w:r>
        <w:t>§ 6. Ochrona danych</w:t>
      </w:r>
    </w:p>
    <w:p>
      <w:r>
        <w:t>Dane osobowe są przetwarzane wyłącznie w zakresie niezbędnym do wykonywania funkcji i zgodnie z właściwymi upoważnieniami. Dokumenty zawierające dane osobowe powinny być chronione przed nieuprawnionym dostępem.</w:t>
      </w:r>
    </w:p>
    <w:p>
      <w:pPr>
        <w:pStyle w:val="Heading2"/>
      </w:pPr>
      <w:r>
        <w:t>§ 7. Sztuczna inteligencja</w:t>
      </w:r>
    </w:p>
    <w:p>
      <w:r>
        <w:t xml:space="preserve">1. Nie należy wprowadzać do publicznych lub niezatwierdzonych usług AI danych osobowych, informacji poufnych ani dokumentów Spółdzielni. </w:t>
      </w:r>
      <w:r>
        <w:rPr>
          <w:b/>
        </w:rPr>
        <w:t>Luka znaleziona przy świeżym przeglądzie</w:t>
      </w:r>
      <w:r>
        <w:t xml:space="preserve">: dokument nigdzie nie mówi, kto prowadzi listę „zatwierdzonych" usług AI ani jak coś na nią trafia — w przeciwieństwie do innych otwartych kwestii w tym pakiecie, to miejsce nie miało nawet </w:t>
      </w:r>
      <w:r>
        <w:rPr>
          <w:rFonts w:ascii="Consolas" w:hAnsi="Consolas"/>
        </w:rPr>
        <w:t>[●]</w:t>
      </w:r>
      <w:r>
        <w:t>. Do ustalenia: kto zatwierdza [●] i gdzie ta lista jest publikowana [●].</w:t>
      </w:r>
    </w:p>
    <w:p>
      <w:r>
        <w:t>2. Wynik wygenerowany przez AI nie jest sam w sobie źródłem prawdy; osoba wykorzystująca go odpowiada za weryfikację treści.</w:t>
      </w:r>
    </w:p>
    <w:p>
      <w:r>
        <w:t>3. W przypadku użycia AI w procesach Spółdzielni należy określić cel, zakres danych, dostawcę, sposób kontroli i odpowiedzialność człowieka.</w:t>
      </w:r>
    </w:p>
    <w:p>
      <w:pPr>
        <w:pStyle w:val="Heading2"/>
      </w:pPr>
      <w:r>
        <w:t>§ 8. Dokumentacja i wyjście z systemu</w:t>
      </w:r>
    </w:p>
    <w:p>
      <w:r>
        <w:t>Przy zakupie systemu krytycznego należy ocenić: dokumentację, możliwość migracji, eksport danych, warunki zakończenia umowy, dostęp do danych po zakończeniu współpracy i koszt zmiany dostawcy.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