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Polityka konfliktu interesów</w:t>
      </w:r>
    </w:p>
    <w:p>
      <w:r>
        <w:rPr>
          <w:b/>
        </w:rPr>
        <w:t>PROJEKT ROBOCZY — do dyskusji i weryfikacji prawnej</w:t>
      </w:r>
    </w:p>
    <w:p>
      <w:r>
        <w:rPr>
          <w:b/>
        </w:rPr>
        <w:t xml:space="preserve">UWAGA: </w:t>
      </w:r>
      <w:r>
        <w:t>Projekt wykonawczy do Kodeksu. Zakres danych i procedur wymaga weryfikacji pod kątem prawa, Statutu oraz ochrony danych osobowych.</w:t>
      </w:r>
    </w:p>
    <w:p>
      <w:r>
        <w:rPr>
          <w:b/>
        </w:rPr>
        <w:t>Tryb przyjęcia (propozycja)</w:t>
      </w:r>
      <w:r>
        <w:t>: jako dokument wykonawczy dotyczący głównie postępowania w konkretnych sprawach (nie samego funkcjonowania organu), może zostać przyjęty uchwałą Rady Nadzorczej na podstawie § 49 ust. 1 pkt 21 Statutu (regulaminy nie zastrzeżone dla innych organów) — do potwierdzenia przez radcę prawnego łącznie z trybem przyjęcia Kodeksu, patrz „Kodeks odpowiedzialnego sprawowania mandatu" § 15.</w:t>
      </w:r>
    </w:p>
    <w:p>
      <w:pPr>
        <w:pStyle w:val="Heading2"/>
      </w:pPr>
      <w:r>
        <w:t>§ 1. Cel</w:t>
      </w:r>
    </w:p>
    <w:p>
      <w:r>
        <w:t>Celem Polityki jest zapobieganie sytuacjom, w których interes osobisty, majątkowy lub zawodowy członka organu może kolidować z bezstronnym wykonywaniem funkcji.</w:t>
      </w:r>
    </w:p>
    <w:p>
      <w:pPr>
        <w:pStyle w:val="Heading2"/>
      </w:pPr>
      <w:r>
        <w:t>§ 2. Rodzaje konfliktu</w:t>
      </w:r>
    </w:p>
    <w:p>
      <w:r>
        <w:t>1. Konflikt rzeczywisty — istnieje bezpośrednia kolizja interesów.</w:t>
      </w:r>
    </w:p>
    <w:p>
      <w:r>
        <w:t>2. Konflikt potencjalny — okoliczności mogą doprowadzić do kolizji w przyszłości.</w:t>
      </w:r>
    </w:p>
    <w:p>
      <w:r>
        <w:t>3. Konflikt postrzegany — okoliczności mogą rozsądnie podważać zaufanie do bezstronności, nawet jeśli konflikt rzeczywisty nie występuje.</w:t>
      </w:r>
    </w:p>
    <w:p>
      <w:pPr>
        <w:pStyle w:val="Heading2"/>
      </w:pPr>
      <w:r>
        <w:t>§ 3. Oświadczenia</w:t>
      </w:r>
    </w:p>
    <w:p>
      <w:r>
        <w:t>1. Członek organu składa oświadczenie o okolicznościach mogących powodować konflikt: przy objęciu funkcji, okresowo oraz po istotnej zmianie.</w:t>
      </w:r>
    </w:p>
    <w:p>
      <w:r>
        <w:t>2. Oświadczenie powinno obejmować tylko informacje istotne dla oceny konfliktu interesów.</w:t>
      </w:r>
    </w:p>
    <w:p>
      <w:r>
        <w:t xml:space="preserve">3. Rejestr oświadczeń prowadzi osoba lub organ wskazany w uchwale [●] — naturalnym kandydatem jest stanowisko </w:t>
      </w:r>
      <w:r>
        <w:rPr>
          <w:b/>
        </w:rPr>
        <w:t>PM</w:t>
      </w:r>
      <w:r>
        <w:t xml:space="preserve"> (ds. organizacyjno-samorządowych), które już prowadzi rejestr członków i uchwał organów (patrz opis stanowiska PM w regulaminie organizacyjnym Spółdzielni) — do potwierdzenia uchwałą, nie zakładania z góry. Dostęp do niego ogranicza się do osób uprawnionych.</w:t>
      </w:r>
    </w:p>
    <w:p>
      <w:pPr>
        <w:pStyle w:val="Heading2"/>
      </w:pPr>
      <w:r>
        <w:t>§ 4. Wyłączenie</w:t>
      </w:r>
    </w:p>
    <w:p>
      <w:r>
        <w:t>1. Członek ujawnia konflikt przed rozpoczęciem dyskusji nad sprawą.</w:t>
      </w:r>
    </w:p>
    <w:p>
      <w:r>
        <w:t>2. W przypadku konfliktu rzeczywistego członek nie uczestniczy w rozstrzyganiu sprawy w zakresie, w jakim wymagają tego przepisy prawa, Statut lub zasady bezstronności.</w:t>
      </w:r>
    </w:p>
    <w:p>
      <w:r>
        <w:t>3. Wyłączenie odnotowuje się w protokole.</w:t>
      </w:r>
    </w:p>
    <w:p>
      <w:r>
        <w:t xml:space="preserve">4. W razie wątpliwości o wyłączeniu decyduje właściwy organ bez udziału zainteresowanego. </w:t>
      </w:r>
      <w:r>
        <w:rPr>
          <w:b/>
        </w:rPr>
        <w:t>Przy remisie głosów</w:t>
      </w:r>
      <w:r>
        <w:t xml:space="preserve"> (możliwym właśnie dlatego, że wyłączenie zainteresowanego zmienia parzystość składu) </w:t>
      </w:r>
      <w:r>
        <w:rPr>
          <w:b/>
        </w:rPr>
        <w:t>rozstrzyga się na korzyść wyłączenia</w:t>
      </w:r>
      <w:r>
        <w:t xml:space="preserve"> — jako rozwiązanie ostrożniejsze i spójne z celem Polityki.</w:t>
      </w:r>
    </w:p>
    <w:p>
      <w:r>
        <w:t>5. Członek może dobrowolnie wyłączyć się także wtedy, gdy uznaje, że jego udział może istotnie podważyć zaufanie do bezstronności.</w:t>
      </w:r>
    </w:p>
    <w:p>
      <w:pPr>
        <w:pStyle w:val="Heading2"/>
      </w:pPr>
      <w:r>
        <w:t>§ 5. Prezenty i korzyści</w:t>
      </w:r>
    </w:p>
    <w:p>
      <w:r>
        <w:t>1. Zabronione jest przyjmowanie pieniędzy, bonów, osobistych rabatów lub innych korzyści związanych z możliwością wpływania na decyzje Spółdzielni.</w:t>
      </w:r>
    </w:p>
    <w:p>
      <w:r>
        <w:t>2. Drobne materiały promocyjne mogą być przyjmowane, jeżeli nie tworzą zobowiązania ani oczekiwania wzajemności; próg wartości [●] ustala się uchwałą.</w:t>
      </w:r>
    </w:p>
    <w:p>
      <w:r>
        <w:t>3. Wątpliwe korzyści należy ujawnić Przewodniczącemu Rady albo osobie wskazanej w procedurze.</w:t>
      </w:r>
    </w:p>
    <w:p>
      <w:pPr>
        <w:pStyle w:val="Heading2"/>
      </w:pPr>
      <w:r>
        <w:t>§ 6. Przejście do Zarządu lub zatrudnienia</w:t>
      </w:r>
    </w:p>
    <w:p>
      <w:r>
        <w:t xml:space="preserve">1. Członek Rady zamierzający ubiegać się o zatrudnienie w Spółdzielni lub funkcję w Zarządzie ujawnia zamiar i wyłącza się z prac dotyczących tego stanowiska. </w:t>
      </w:r>
      <w:r>
        <w:rPr>
          <w:b/>
        </w:rPr>
        <w:t>Przypomnienie o istniejącym już zakazie łączenia funkcji</w:t>
      </w:r>
      <w:r>
        <w:t>: nie można być jednocześnie członkiem Rady Nadzorczej i Zarządu (Statut § 61) — członek Rady wybrany do Zarządu musi zrzec się mandatu w Radzie, nie może pełnić obu funkcji równolegle nawet przejściowo.</w:t>
      </w:r>
    </w:p>
    <w:p>
      <w:r>
        <w:t>2. Szczegółowe zasady okresu karencji, rekrutacji i jawności kryteriów określa właściwa procedura lub regulamin, po weryfikacji prawnej.</w:t>
      </w:r>
    </w:p>
    <w:p>
      <w:r>
        <w:t>3. Nie wolno wykorzystywać niepublicznych informacji uzyskanych dzięki mandatowi dla uzyskania przewagi w procesie rekrutacji.</w:t>
      </w:r>
    </w:p>
    <w:p>
      <w:pPr>
        <w:pStyle w:val="Heading2"/>
      </w:pPr>
      <w:r>
        <w:t>§ 7. Rejestr wyłączeń</w:t>
      </w:r>
    </w:p>
    <w:p>
      <w:r>
        <w:t>Rejestr powinien zawierać co najmniej datę, sprawę, osobę wyłączoną oraz podstawę wyłączenia, w zakresie dopuszczalnym prawem.</w:t>
      </w:r>
    </w:p>
    <w:p>
      <w:pPr>
        <w:pStyle w:val="Heading1"/>
      </w:pPr>
      <w:r>
        <w:t>Załącznik — wzór oświadczenia</w:t>
      </w:r>
    </w:p>
    <w:p>
      <w:r>
        <w:t>Imię i nazwisko / funkcja: __________________</w:t>
      </w:r>
    </w:p>
    <w:p>
      <w:r>
        <w:t>Działalność zawodowa i gospodarcza istotna dla konfliktu: __________________</w:t>
      </w:r>
    </w:p>
    <w:p>
      <w:r>
        <w:t>Udziały, funkcje i powiązania z kontrahentami: __________________</w:t>
      </w:r>
    </w:p>
    <w:p>
      <w:r>
        <w:t>Powiązania osób bliskich istotne dla konfliktu: __________________</w:t>
      </w:r>
    </w:p>
    <w:p>
      <w:r>
        <w:t>Inne okoliczności mogące powodować konflikt: __________________</w:t>
      </w:r>
    </w:p>
    <w:p>
      <w:r>
        <w:t>Oświadczam, że będę niezwłocznie aktualizować informacje: TAK / NIE</w:t>
      </w:r>
    </w:p>
    <w:p>
      <w:r>
        <w:t>Data i podpis: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