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Procedura skarg i wniosków</w:t>
      </w:r>
    </w:p>
    <w:p>
      <w:r>
        <w:rPr>
          <w:b/>
        </w:rPr>
        <w:t>PROJEKT ROBOCZY — do dyskusji i weryfikacji prawnej</w:t>
      </w:r>
    </w:p>
    <w:p>
      <w:r>
        <w:rPr>
          <w:b/>
        </w:rPr>
        <w:t>Tryb przyjęcia (propozycja)</w:t>
      </w:r>
      <w:r>
        <w:t>: uchwała Rady Nadzorczej na podstawie § 49 ust. 1 pkt 21 Statutu — do potwierdzenia łącznie z trybem przyjęcia Kodeksu, patrz „Kodeks odpowiedzialnego sprawowania mandatu" § 15.</w:t>
      </w:r>
    </w:p>
    <w:p>
      <w:pPr>
        <w:pStyle w:val="Heading2"/>
      </w:pPr>
      <w:r>
        <w:t>§ 1. Cel</w:t>
      </w:r>
    </w:p>
    <w:p>
      <w:r>
        <w:t>Procedura zapewnia jednolity, możliwy do odtworzenia sposób obsługi skarg i wniosków członków Spółdzielni.</w:t>
      </w:r>
    </w:p>
    <w:p>
      <w:pPr>
        <w:pStyle w:val="Heading2"/>
      </w:pPr>
      <w:r>
        <w:t>§ 2. Rejestr</w:t>
      </w:r>
    </w:p>
    <w:p>
      <w:r>
        <w:t>1. Każda skarga lub wniosek otrzymuje numer sprawy i datę wpływu.</w:t>
      </w:r>
    </w:p>
    <w:p>
      <w:r>
        <w:t>2. Rejestr zawiera co najmniej: datę, przedmiot, właściwość, status i datę odpowiedzi, z ograniczeniem dostępu do danych osobowych.</w:t>
      </w:r>
    </w:p>
    <w:p>
      <w:pPr>
        <w:pStyle w:val="Heading2"/>
      </w:pPr>
      <w:r>
        <w:t>§ 3. Obsługa</w:t>
      </w:r>
    </w:p>
    <w:p>
      <w:r>
        <w:t>1. Skarga powinna zostać potwierdzona, jeżeli pozwala na to forma kontaktu.</w:t>
      </w:r>
    </w:p>
    <w:p>
      <w:r>
        <w:t>2. Sprawa jest kierowana do właściwego organu lub jednostki.</w:t>
      </w:r>
    </w:p>
    <w:p>
      <w:r>
        <w:t>3. Osoba, której dotyczy skarga, nie powinna samodzielnie rozpatrywać własnej sprawy.</w:t>
      </w:r>
    </w:p>
    <w:p>
      <w:r>
        <w:t>4. Odpowiedź powinna być rzeczowa, zrozumiała i wskazywać podstawę rozstrzygnięcia.</w:t>
      </w:r>
    </w:p>
    <w:p>
      <w:r>
        <w:t xml:space="preserve">5. </w:t>
      </w:r>
      <w:r>
        <w:rPr>
          <w:b/>
        </w:rPr>
        <w:t>Termin odpowiedzi: 1 miesiąc</w:t>
      </w:r>
      <w:r>
        <w:t xml:space="preserve"> od dnia wpływu — zgodny z terminem już obowiązującym dla wniosków członków kierowanych do Zarządu (Statut § 26 ust. 1). Jeżeli termin nie może zostać zachowany, informuje się o przyczynie i przewidywanym terminie.</w:t>
      </w:r>
    </w:p>
    <w:p>
      <w:pPr>
        <w:pStyle w:val="Heading2"/>
      </w:pPr>
      <w:r>
        <w:t>§ 4. Skargi na organy</w:t>
      </w:r>
    </w:p>
    <w:p>
      <w:r>
        <w:t>1. Skargi na Zarząd rozpatruje organ właściwy zgodnie ze Statutem i prawem.</w:t>
      </w:r>
    </w:p>
    <w:p>
      <w:r>
        <w:t>2. Skargi na członka Rady rozpatruje organ właściwy, z wyłączeniem zainteresowanego.</w:t>
      </w:r>
    </w:p>
    <w:p>
      <w:r>
        <w:t xml:space="preserve">3. Skargi dotyczące całego organu wymagają wskazania niezależnego trybu rozpatrzenia [●] — </w:t>
      </w:r>
      <w:r>
        <w:rPr>
          <w:b/>
        </w:rPr>
        <w:t>to samo nierozstrzygnięte pytanie co w Procedurze zgłaszania nieprawidłowości</w:t>
      </w:r>
      <w:r>
        <w:t xml:space="preserve"> § 3 ust. 3. Oba dokumenty powinny dostać </w:t>
      </w:r>
      <w:r>
        <w:rPr>
          <w:b/>
        </w:rPr>
        <w:t>tę samą odpowiedź</w:t>
      </w:r>
      <w:r>
        <w:t xml:space="preserve"> — nie rozstrzygać tego osobno w każdym z nich.</w:t>
      </w:r>
    </w:p>
    <w:p>
      <w:pPr>
        <w:pStyle w:val="Heading2"/>
      </w:pPr>
      <w:r>
        <w:t>§ 5. Powtarzające się sprawy i zachowania agresywne</w:t>
      </w:r>
    </w:p>
    <w:p>
      <w:r>
        <w:t>1. W sprawie identycznej, bez nowych okoliczności, można odwołać się do wcześniejszej odpowiedzi.</w:t>
      </w:r>
    </w:p>
    <w:p>
      <w:r>
        <w:t>2. W przypadku gróźb lub agresji można ograniczyć kontakt do formy pisemnej, bez ograniczania praw członkowskich.</w:t>
      </w:r>
    </w:p>
    <w:p>
      <w:pPr>
        <w:pStyle w:val="Heading2"/>
      </w:pPr>
      <w:r>
        <w:t>§ 6. Środki dalsze</w:t>
      </w:r>
    </w:p>
    <w:p>
      <w:r>
        <w:t>Odpowiedź powinna wskazywać dostępne środki odwoławcze lub inne właściwe tryby postępowania, jeżeli wynikają z prawa lub Statutu.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