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Playbook jurídico interno - Contratación de servicios SaaS</w:t>
      </w:r>
    </w:p>
    <w:p>
      <w:pPr>
        <w:jc w:val="center"/>
      </w:pPr>
      <w:r>
        <w:rPr>
          <w:i/>
          <w:color w:val="646464"/>
          <w:sz w:val="18"/>
        </w:rPr>
        <w:t>Lumen Retail España, S.A. | Caso ficticio para formación</w:t>
      </w:r>
    </w:p>
    <w:p/>
    <w:p>
      <w:r>
        <w:rPr>
          <w:b/>
          <w:color w:val="2F75B5"/>
          <w:sz w:val="24"/>
        </w:rPr>
        <w:t>Finalidad</w:t>
      </w:r>
    </w:p>
    <w:p>
      <w:r>
        <w:t>Este playbook orienta una primera revisión interna de contratos SaaS. No sustituye la revisión de un abogado ni constituye asesoramiento jurídico.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D9EAF7"/>
          </w:tcPr>
          <w:p>
            <w:r>
              <w:rPr>
                <w:b/>
              </w:rPr>
              <w:t>Tema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Posición estándar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Aceptar con revisión</w:t>
            </w:r>
          </w:p>
        </w:tc>
        <w:tc>
          <w:tcPr>
            <w:tcW w:type="dxa" w:w="2484"/>
            <w:shd w:fill="D9EAF7"/>
          </w:tcPr>
          <w:p>
            <w:r>
              <w:rPr>
                <w:b/>
              </w:rPr>
              <w:t>Escalar</w:t>
            </w:r>
          </w:p>
        </w:tc>
      </w:tr>
      <w:tr>
        <w:tc>
          <w:tcPr>
            <w:tcW w:type="dxa" w:w="2484"/>
          </w:tcPr>
          <w:p>
            <w:r>
              <w:t>Ley y jurisdicción</w:t>
            </w:r>
          </w:p>
        </w:tc>
        <w:tc>
          <w:tcPr>
            <w:tcW w:type="dxa" w:w="2484"/>
          </w:tcPr>
          <w:p>
            <w:r>
              <w:t>España o país de la UE; jurisdicción UE</w:t>
            </w:r>
          </w:p>
        </w:tc>
        <w:tc>
          <w:tcPr>
            <w:tcW w:type="dxa" w:w="2484"/>
          </w:tcPr>
          <w:p>
            <w:r>
              <w:t>Otro país de la UE con validación de Legal</w:t>
            </w:r>
          </w:p>
        </w:tc>
        <w:tc>
          <w:tcPr>
            <w:tcW w:type="dxa" w:w="2484"/>
          </w:tcPr>
          <w:p>
            <w:r>
              <w:t>Fuera de la UE o arbitraje no estándar</w:t>
            </w:r>
          </w:p>
        </w:tc>
      </w:tr>
      <w:tr>
        <w:tc>
          <w:tcPr>
            <w:tcW w:type="dxa" w:w="2484"/>
          </w:tcPr>
          <w:p>
            <w:r>
              <w:t>Duración inicial</w:t>
            </w:r>
          </w:p>
        </w:tc>
        <w:tc>
          <w:tcPr>
            <w:tcW w:type="dxa" w:w="2484"/>
          </w:tcPr>
          <w:p>
            <w:r>
              <w:t>12-24 meses</w:t>
            </w:r>
          </w:p>
        </w:tc>
        <w:tc>
          <w:tcPr>
            <w:tcW w:type="dxa" w:w="2484"/>
          </w:tcPr>
          <w:p>
            <w:r>
              <w:t>Hasta 36 meses con Legal + Finanzas</w:t>
            </w:r>
          </w:p>
        </w:tc>
        <w:tc>
          <w:tcPr>
            <w:tcW w:type="dxa" w:w="2484"/>
          </w:tcPr>
          <w:p>
            <w:r>
              <w:t>Más de 36 meses o compromiso no cancelable excepcional</w:t>
            </w:r>
          </w:p>
        </w:tc>
      </w:tr>
      <w:tr>
        <w:tc>
          <w:tcPr>
            <w:tcW w:type="dxa" w:w="2484"/>
          </w:tcPr>
          <w:p>
            <w:r>
              <w:t>Renovación automática</w:t>
            </w:r>
          </w:p>
        </w:tc>
        <w:tc>
          <w:tcPr>
            <w:tcW w:type="dxa" w:w="2484"/>
          </w:tcPr>
          <w:p>
            <w:r>
              <w:t>Aviso de no renovación &gt;=60 días</w:t>
            </w:r>
          </w:p>
        </w:tc>
        <w:tc>
          <w:tcPr>
            <w:tcW w:type="dxa" w:w="2484"/>
          </w:tcPr>
          <w:p>
            <w:r>
              <w:t>45-59 días con Legal</w:t>
            </w:r>
          </w:p>
        </w:tc>
        <w:tc>
          <w:tcPr>
            <w:tcW w:type="dxa" w:w="2484"/>
          </w:tcPr>
          <w:p>
            <w:r>
              <w:t>&lt;45 días</w:t>
            </w:r>
          </w:p>
        </w:tc>
      </w:tr>
      <w:tr>
        <w:tc>
          <w:tcPr>
            <w:tcW w:type="dxa" w:w="2484"/>
          </w:tcPr>
          <w:p>
            <w:r>
              <w:t>Terminación por incumplimiento</w:t>
            </w:r>
          </w:p>
        </w:tc>
        <w:tc>
          <w:tcPr>
            <w:tcW w:type="dxa" w:w="2484"/>
          </w:tcPr>
          <w:p>
            <w:r>
              <w:t>Derecho de terminación y plazo de subsanación &lt;=30 días</w:t>
            </w:r>
          </w:p>
        </w:tc>
        <w:tc>
          <w:tcPr>
            <w:tcW w:type="dxa" w:w="2484"/>
          </w:tcPr>
          <w:p>
            <w:r>
              <w:t>Hasta 45 días</w:t>
            </w:r>
          </w:p>
        </w:tc>
        <w:tc>
          <w:tcPr>
            <w:tcW w:type="dxa" w:w="2484"/>
          </w:tcPr>
          <w:p>
            <w:r>
              <w:t>Sin derecho razonable de terminación</w:t>
            </w:r>
          </w:p>
        </w:tc>
      </w:tr>
      <w:tr>
        <w:tc>
          <w:tcPr>
            <w:tcW w:type="dxa" w:w="2484"/>
          </w:tcPr>
          <w:p>
            <w:r>
              <w:t>Cambios unilaterales</w:t>
            </w:r>
          </w:p>
        </w:tc>
        <w:tc>
          <w:tcPr>
            <w:tcW w:type="dxa" w:w="2484"/>
          </w:tcPr>
          <w:p>
            <w:r>
              <w:t>No se aceptan cambios materiales unilaterales</w:t>
            </w:r>
          </w:p>
        </w:tc>
        <w:tc>
          <w:tcPr>
            <w:tcW w:type="dxa" w:w="2484"/>
          </w:tcPr>
          <w:p>
            <w:r>
              <w:t>Cambios no materiales con aviso previo</w:t>
            </w:r>
          </w:p>
        </w:tc>
        <w:tc>
          <w:tcPr>
            <w:tcW w:type="dxa" w:w="2484"/>
          </w:tcPr>
          <w:p>
            <w:r>
              <w:t>Proveedor puede cambiar precio, alcance o términos materiales unilateralmente</w:t>
            </w:r>
          </w:p>
        </w:tc>
      </w:tr>
      <w:tr>
        <w:tc>
          <w:tcPr>
            <w:tcW w:type="dxa" w:w="2484"/>
          </w:tcPr>
          <w:p>
            <w:r>
              <w:t>Responsabilidad del proveedor</w:t>
            </w:r>
          </w:p>
        </w:tc>
        <w:tc>
          <w:tcPr>
            <w:tcW w:type="dxa" w:w="2484"/>
          </w:tcPr>
          <w:p>
            <w:r>
              <w:t>Cap general &gt;=1x tarifas anuales</w:t>
            </w:r>
          </w:p>
        </w:tc>
        <w:tc>
          <w:tcPr>
            <w:tcW w:type="dxa" w:w="2484"/>
          </w:tcPr>
          <w:p>
            <w:r>
              <w:t>Entre 0,75x y 1x con Legal</w:t>
            </w:r>
          </w:p>
        </w:tc>
        <w:tc>
          <w:tcPr>
            <w:tcW w:type="dxa" w:w="2484"/>
          </w:tcPr>
          <w:p>
            <w:r>
              <w:t>&lt;0,75x o exclusiones que vacíen de contenido la responsabilidad</w:t>
            </w:r>
          </w:p>
        </w:tc>
      </w:tr>
      <w:tr>
        <w:tc>
          <w:tcPr>
            <w:tcW w:type="dxa" w:w="2484"/>
          </w:tcPr>
          <w:p>
            <w:r>
              <w:t>Datos/privacidad</w:t>
            </w:r>
          </w:p>
        </w:tc>
        <w:tc>
          <w:tcPr>
            <w:tcW w:type="dxa" w:w="2484"/>
          </w:tcPr>
          <w:p>
            <w:r>
              <w:t>DPA firmado; tratamiento UE o mecanismo válido; responsabilidad reforzada</w:t>
            </w:r>
          </w:p>
        </w:tc>
        <w:tc>
          <w:tcPr>
            <w:tcW w:type="dxa" w:w="2484"/>
          </w:tcPr>
          <w:p>
            <w:r>
              <w:t>Excepciones con DPO + Legal</w:t>
            </w:r>
          </w:p>
        </w:tc>
        <w:tc>
          <w:tcPr>
            <w:tcW w:type="dxa" w:w="2484"/>
          </w:tcPr>
          <w:p>
            <w:r>
              <w:t>Sin DPA, transferencias no aclaradas o responsabilidad insuficiente</w:t>
            </w:r>
          </w:p>
        </w:tc>
      </w:tr>
      <w:tr>
        <w:tc>
          <w:tcPr>
            <w:tcW w:type="dxa" w:w="2484"/>
          </w:tcPr>
          <w:p>
            <w:r>
              <w:t>Incidentes de seguridad</w:t>
            </w:r>
          </w:p>
        </w:tc>
        <w:tc>
          <w:tcPr>
            <w:tcW w:type="dxa" w:w="2484"/>
          </w:tcPr>
          <w:p>
            <w:r>
              <w:t>Notificación &lt;=72h desde conocimiento/confirmación según redacción</w:t>
            </w:r>
          </w:p>
        </w:tc>
        <w:tc>
          <w:tcPr>
            <w:tcW w:type="dxa" w:w="2484"/>
          </w:tcPr>
          <w:p>
            <w:r>
              <w:t>Hasta 96h con CISO + Legal</w:t>
            </w:r>
          </w:p>
        </w:tc>
        <w:tc>
          <w:tcPr>
            <w:tcW w:type="dxa" w:w="2484"/>
          </w:tcPr>
          <w:p>
            <w:r>
              <w:t>&gt;96h</w:t>
            </w:r>
          </w:p>
        </w:tc>
      </w:tr>
      <w:tr>
        <w:tc>
          <w:tcPr>
            <w:tcW w:type="dxa" w:w="2484"/>
          </w:tcPr>
          <w:p>
            <w:r>
              <w:t>Propiedad intelectual</w:t>
            </w:r>
          </w:p>
        </w:tc>
        <w:tc>
          <w:tcPr>
            <w:tcW w:type="dxa" w:w="2484"/>
          </w:tcPr>
          <w:p>
            <w:r>
              <w:t>Proveedor indemniza por reclamaciones de IP sobre su software</w:t>
            </w:r>
          </w:p>
        </w:tc>
        <w:tc>
          <w:tcPr>
            <w:tcW w:type="dxa" w:w="2484"/>
          </w:tcPr>
          <w:p>
            <w:r>
              <w:t>Limitaciones razonables con Legal</w:t>
            </w:r>
          </w:p>
        </w:tc>
        <w:tc>
          <w:tcPr>
            <w:tcW w:type="dxa" w:w="2484"/>
          </w:tcPr>
          <w:p>
            <w:r>
              <w:t>Sin indemnidad de IP</w:t>
            </w:r>
          </w:p>
        </w:tc>
      </w:tr>
      <w:tr>
        <w:tc>
          <w:tcPr>
            <w:tcW w:type="dxa" w:w="2484"/>
          </w:tcPr>
          <w:p>
            <w:r>
              <w:t>Auditoría y evidencia</w:t>
            </w:r>
          </w:p>
        </w:tc>
        <w:tc>
          <w:tcPr>
            <w:tcW w:type="dxa" w:w="2484"/>
          </w:tcPr>
          <w:p>
            <w:r>
              <w:t>Derecho a evidencia de seguridad y auditoría razonable</w:t>
            </w:r>
          </w:p>
        </w:tc>
        <w:tc>
          <w:tcPr>
            <w:tcW w:type="dxa" w:w="2484"/>
          </w:tcPr>
          <w:p>
            <w:r>
              <w:t>Auditoría documental anual</w:t>
            </w:r>
          </w:p>
        </w:tc>
        <w:tc>
          <w:tcPr>
            <w:tcW w:type="dxa" w:w="2484"/>
          </w:tcPr>
          <w:p>
            <w:r>
              <w:t>Sin evidencia o auditoría cuando hay datos relevantes</w:t>
            </w:r>
          </w:p>
        </w:tc>
      </w:tr>
    </w:tbl>
    <w:p/>
    <w:p>
      <w:r>
        <w:rPr>
          <w:b/>
          <w:color w:val="2F75B5"/>
          <w:sz w:val="24"/>
        </w:rPr>
        <w:t>Clasificación didáctica</w:t>
      </w:r>
    </w:p>
    <w:p>
      <w:r>
        <w:t>VERDE = dentro de estándar. ÁMBAR = requiere negociación o aprobación interna. ROJO = fuera de los límites y debe escalarse.</w:t>
      </w:r>
    </w:p>
    <w:p>
      <w:r>
        <w:rPr>
          <w:b/>
          <w:color w:val="2F75B5"/>
          <w:sz w:val="24"/>
        </w:rPr>
        <w:t>Regla de conducta</w:t>
      </w:r>
    </w:p>
    <w:p>
      <w:r>
        <w:t>El revisor debe citar la cláusula concreta, explicar el motivo y proponer el siguiente paso. Nunca debe declarar que un contrato está 'aprobado', 'es legal' o 'es seguro'. La decisión final corresponde a las personas autorizadas.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