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Solicitud interna de compra - OrionCloud Analytics</w:t>
      </w:r>
    </w:p>
    <w:p>
      <w:pPr>
        <w:jc w:val="center"/>
      </w:pPr>
      <w:r>
        <w:rPr>
          <w:i/>
          <w:color w:val="646464"/>
          <w:sz w:val="18"/>
        </w:rPr>
        <w:t>Caso ficticio | Información para revisión Legal y Finanzas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Dato</w:t>
            </w:r>
          </w:p>
        </w:tc>
      </w:tr>
      <w:tr>
        <w:tc>
          <w:tcPr>
            <w:tcW w:type="dxa" w:w="4968"/>
          </w:tcPr>
          <w:p>
            <w:r>
              <w:t>Área solicitante</w:t>
            </w:r>
          </w:p>
        </w:tc>
        <w:tc>
          <w:tcPr>
            <w:tcW w:type="dxa" w:w="4968"/>
          </w:tcPr>
          <w:p>
            <w:r>
              <w:t>Comercial y Planificación</w:t>
            </w:r>
          </w:p>
        </w:tc>
      </w:tr>
      <w:tr>
        <w:tc>
          <w:tcPr>
            <w:tcW w:type="dxa" w:w="4968"/>
          </w:tcPr>
          <w:p>
            <w:r>
              <w:t>Responsable</w:t>
            </w:r>
          </w:p>
        </w:tc>
        <w:tc>
          <w:tcPr>
            <w:tcW w:type="dxa" w:w="4968"/>
          </w:tcPr>
          <w:p>
            <w:r>
              <w:t>Ana Ríos</w:t>
            </w:r>
          </w:p>
        </w:tc>
      </w:tr>
      <w:tr>
        <w:tc>
          <w:tcPr>
            <w:tcW w:type="dxa" w:w="4968"/>
          </w:tcPr>
          <w:p>
            <w:r>
              <w:t>Objetivo</w:t>
            </w:r>
          </w:p>
        </w:tc>
        <w:tc>
          <w:tcPr>
            <w:tcW w:type="dxa" w:w="4968"/>
          </w:tcPr>
          <w:p>
            <w:r>
              <w:t>Previsión de demanda y analítica de ventas para 350 usuarios</w:t>
            </w:r>
          </w:p>
        </w:tc>
      </w:tr>
      <w:tr>
        <w:tc>
          <w:tcPr>
            <w:tcW w:type="dxa" w:w="4968"/>
          </w:tcPr>
          <w:p>
            <w:r>
              <w:t>Coste previsto año 1</w:t>
            </w:r>
          </w:p>
        </w:tc>
        <w:tc>
          <w:tcPr>
            <w:tcW w:type="dxa" w:w="4968"/>
          </w:tcPr>
          <w:p>
            <w:r>
              <w:t>280.000 EUR incluyendo implantación</w:t>
            </w:r>
          </w:p>
        </w:tc>
      </w:tr>
      <w:tr>
        <w:tc>
          <w:tcPr>
            <w:tcW w:type="dxa" w:w="4968"/>
          </w:tcPr>
          <w:p>
            <w:r>
              <w:t>Presupuesto aprobado en el área</w:t>
            </w:r>
          </w:p>
        </w:tc>
        <w:tc>
          <w:tcPr>
            <w:tcW w:type="dxa" w:w="4968"/>
          </w:tcPr>
          <w:p>
            <w:r>
              <w:t>250.000 EUR</w:t>
            </w:r>
          </w:p>
        </w:tc>
      </w:tr>
      <w:tr>
        <w:tc>
          <w:tcPr>
            <w:tcW w:type="dxa" w:w="4968"/>
          </w:tcPr>
          <w:p>
            <w:r>
              <w:t>Plazo deseado</w:t>
            </w:r>
          </w:p>
        </w:tc>
        <w:tc>
          <w:tcPr>
            <w:tcW w:type="dxa" w:w="4968"/>
          </w:tcPr>
          <w:p>
            <w:r>
              <w:t>3 años</w:t>
            </w:r>
          </w:p>
        </w:tc>
      </w:tr>
      <w:tr>
        <w:tc>
          <w:tcPr>
            <w:tcW w:type="dxa" w:w="4968"/>
          </w:tcPr>
          <w:p>
            <w:r>
              <w:t>Fecha objetivo de firma</w:t>
            </w:r>
          </w:p>
        </w:tc>
        <w:tc>
          <w:tcPr>
            <w:tcW w:type="dxa" w:w="4968"/>
          </w:tcPr>
          <w:p>
            <w:r>
              <w:t>30 de septiembre de 2026</w:t>
            </w:r>
          </w:p>
        </w:tc>
      </w:tr>
      <w:tr>
        <w:tc>
          <w:tcPr>
            <w:tcW w:type="dxa" w:w="4968"/>
          </w:tcPr>
          <w:p>
            <w:r>
              <w:t>Datos previstos</w:t>
            </w:r>
          </w:p>
        </w:tc>
        <w:tc>
          <w:tcPr>
            <w:tcW w:type="dxa" w:w="4968"/>
          </w:tcPr>
          <w:p>
            <w:r>
              <w:t>Datos de ventas y perfiles de usuarios corporativos; pueden existir identificadores de clientes</w:t>
            </w:r>
          </w:p>
        </w:tc>
      </w:tr>
      <w:tr>
        <w:tc>
          <w:tcPr>
            <w:tcW w:type="dxa" w:w="4968"/>
          </w:tcPr>
          <w:p>
            <w:r>
              <w:t>Estado de aprobaciones</w:t>
            </w:r>
          </w:p>
        </w:tc>
        <w:tc>
          <w:tcPr>
            <w:tcW w:type="dxa" w:w="4968"/>
          </w:tcPr>
          <w:p>
            <w:r>
              <w:t>Compras iniciado. CFO no ha aprobado. Comité de Inversiones no revisado.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