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NovaDesk Case Management - Acuerdo de Suscripción</w:t>
      </w:r>
    </w:p>
    <w:p>
      <w:pPr>
        <w:jc w:val="center"/>
      </w:pPr>
      <w:r>
        <w:rPr>
          <w:i/>
          <w:color w:val="646464"/>
          <w:sz w:val="18"/>
        </w:rPr>
        <w:t>Proveedor ficticio | Segundo caso para reutilizar el agente</w:t>
      </w:r>
    </w:p>
    <w:p/>
    <w:p>
      <w:r>
        <w:rPr>
          <w:b/>
          <w:color w:val="2F75B5"/>
          <w:sz w:val="24"/>
        </w:rPr>
        <w:t>1. Servicio</w:t>
      </w:r>
    </w:p>
    <w:p>
      <w:r>
        <w:t>Plataforma SaaS de gestión de expedientes internos para 120 usuarios.</w:t>
      </w:r>
    </w:p>
    <w:p>
      <w:r>
        <w:rPr>
          <w:b/>
          <w:color w:val="2F75B5"/>
          <w:sz w:val="24"/>
        </w:rPr>
        <w:t>2. Plazo inicial</w:t>
      </w:r>
    </w:p>
    <w:p>
      <w:r>
        <w:t>Doce (12) meses. El cliente puede terminar por incumplimiento material no subsanado en 30 días.</w:t>
      </w:r>
    </w:p>
    <w:p>
      <w:r>
        <w:rPr>
          <w:b/>
          <w:color w:val="2F75B5"/>
          <w:sz w:val="24"/>
        </w:rPr>
        <w:t>3. Tarifas</w:t>
      </w:r>
    </w:p>
    <w:p>
      <w:r>
        <w:t>Suscripción anual: 85.000 EUR. Implantación única: 15.000 EUR. Facturación anual por adelantado.</w:t>
      </w:r>
    </w:p>
    <w:p>
      <w:r>
        <w:rPr>
          <w:b/>
          <w:color w:val="2F75B5"/>
          <w:sz w:val="24"/>
        </w:rPr>
        <w:t>4. Incrementos</w:t>
      </w:r>
    </w:p>
    <w:p>
      <w:r>
        <w:t>La tarifa de renovación podrá aumentar hasta un máximo del 2,5 % anual.</w:t>
      </w:r>
    </w:p>
    <w:p>
      <w:r>
        <w:rPr>
          <w:b/>
          <w:color w:val="2F75B5"/>
          <w:sz w:val="24"/>
        </w:rPr>
        <w:t>5. Renovación</w:t>
      </w:r>
    </w:p>
    <w:p>
      <w:r>
        <w:t>Renovación automática anual, salvo aviso de no renovación con 90 días de antelación.</w:t>
      </w:r>
    </w:p>
    <w:p>
      <w:r>
        <w:rPr>
          <w:b/>
          <w:color w:val="2F75B5"/>
          <w:sz w:val="24"/>
        </w:rPr>
        <w:t>6. Cambios</w:t>
      </w:r>
    </w:p>
    <w:p>
      <w:r>
        <w:t>No se aplicarán cambios materiales de precio o condiciones durante el plazo vigente sin acuerdo escrito de ambas partes.</w:t>
      </w:r>
    </w:p>
    <w:p>
      <w:r>
        <w:rPr>
          <w:b/>
          <w:color w:val="2F75B5"/>
          <w:sz w:val="24"/>
        </w:rPr>
        <w:t>7. Responsabilidad</w:t>
      </w:r>
    </w:p>
    <w:p>
      <w:r>
        <w:t>Cap general equivalente al 100 % de las tarifas anuales. Para privacidad, seguridad e indemnidad de propiedad intelectual, cap especial de dos veces las tarifas anuales.</w:t>
      </w:r>
    </w:p>
    <w:p>
      <w:r>
        <w:rPr>
          <w:b/>
          <w:color w:val="2F75B5"/>
          <w:sz w:val="24"/>
        </w:rPr>
        <w:t>8. Propiedad intelectual</w:t>
      </w:r>
    </w:p>
    <w:p>
      <w:r>
        <w:t>El proveedor defenderá e indemnizará al cliente frente a reclamaciones de terceros por infracción de propiedad intelectual del servicio.</w:t>
      </w:r>
    </w:p>
    <w:p>
      <w:r>
        <w:rPr>
          <w:b/>
          <w:color w:val="2F75B5"/>
          <w:sz w:val="24"/>
        </w:rPr>
        <w:t>9. Datos personales</w:t>
      </w:r>
    </w:p>
    <w:p>
      <w:r>
        <w:t>DPA incorporado al acuerdo. Alojamiento de producción en la Unión Europea. Transferencias fuera del EEE solo mediante mecanismo legal válido.</w:t>
      </w:r>
    </w:p>
    <w:p>
      <w:r>
        <w:rPr>
          <w:b/>
          <w:color w:val="2F75B5"/>
          <w:sz w:val="24"/>
        </w:rPr>
        <w:t>10. Incidentes</w:t>
      </w:r>
    </w:p>
    <w:p>
      <w:r>
        <w:t>Notificación de incidentes de seguridad materiales dentro de las 48 horas desde que el proveedor tenga conocimiento.</w:t>
      </w:r>
    </w:p>
    <w:p>
      <w:r>
        <w:rPr>
          <w:b/>
          <w:color w:val="2F75B5"/>
          <w:sz w:val="24"/>
        </w:rPr>
        <w:t>11. Evidencia</w:t>
      </w:r>
    </w:p>
    <w:p>
      <w:r>
        <w:t>El proveedor facilitará informe anual independiente de seguridad y permitirá auditoría documental razonable.</w:t>
      </w:r>
    </w:p>
    <w:p>
      <w:r>
        <w:rPr>
          <w:b/>
          <w:color w:val="2F75B5"/>
          <w:sz w:val="24"/>
        </w:rPr>
        <w:t>12. Ley y jurisdicción</w:t>
      </w:r>
    </w:p>
    <w:p>
      <w:r>
        <w:t>Derecho español. Tribunales de Madrid.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