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Solicitud interna de compra - NovaDesk Case Management</w:t>
      </w:r>
    </w:p>
    <w:p>
      <w:pPr>
        <w:jc w:val="center"/>
      </w:pPr>
      <w:r>
        <w:rPr>
          <w:i/>
          <w:color w:val="646464"/>
          <w:sz w:val="18"/>
        </w:rPr>
        <w:t>Caso ficticio | Segundo caso para reutilizar el agente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968"/>
          </w:tcPr>
          <w:p>
            <w:r>
              <w:t>Área solicitante</w:t>
            </w:r>
          </w:p>
        </w:tc>
        <w:tc>
          <w:tcPr>
            <w:tcW w:type="dxa" w:w="4968"/>
          </w:tcPr>
          <w:p>
            <w:r>
              <w:t>Legal Operations</w:t>
            </w:r>
          </w:p>
        </w:tc>
      </w:tr>
      <w:tr>
        <w:tc>
          <w:tcPr>
            <w:tcW w:type="dxa" w:w="4968"/>
          </w:tcPr>
          <w:p>
            <w:r>
              <w:t>Responsable</w:t>
            </w:r>
          </w:p>
        </w:tc>
        <w:tc>
          <w:tcPr>
            <w:tcW w:type="dxa" w:w="4968"/>
          </w:tcPr>
          <w:p>
            <w:r>
              <w:t>Luis Vega</w:t>
            </w:r>
          </w:p>
        </w:tc>
      </w:tr>
      <w:tr>
        <w:tc>
          <w:tcPr>
            <w:tcW w:type="dxa" w:w="4968"/>
          </w:tcPr>
          <w:p>
            <w:r>
              <w:t>Objetivo</w:t>
            </w:r>
          </w:p>
        </w:tc>
        <w:tc>
          <w:tcPr>
            <w:tcW w:type="dxa" w:w="4968"/>
          </w:tcPr>
          <w:p>
            <w:r>
              <w:t>Gestión de expedientes internos y seguimiento de vencimientos</w:t>
            </w:r>
          </w:p>
        </w:tc>
      </w:tr>
      <w:tr>
        <w:tc>
          <w:tcPr>
            <w:tcW w:type="dxa" w:w="4968"/>
          </w:tcPr>
          <w:p>
            <w:r>
              <w:t>Coste previsto año 1</w:t>
            </w:r>
          </w:p>
        </w:tc>
        <w:tc>
          <w:tcPr>
            <w:tcW w:type="dxa" w:w="4968"/>
          </w:tcPr>
          <w:p>
            <w:r>
              <w:t>100.000 EUR incluyendo implantación</w:t>
            </w:r>
          </w:p>
        </w:tc>
      </w:tr>
      <w:tr>
        <w:tc>
          <w:tcPr>
            <w:tcW w:type="dxa" w:w="4968"/>
          </w:tcPr>
          <w:p>
            <w:r>
              <w:t>Presupuesto aprobado en el área</w:t>
            </w:r>
          </w:p>
        </w:tc>
        <w:tc>
          <w:tcPr>
            <w:tcW w:type="dxa" w:w="4968"/>
          </w:tcPr>
          <w:p>
            <w:r>
              <w:t>110.000 EUR</w:t>
            </w:r>
          </w:p>
        </w:tc>
      </w:tr>
      <w:tr>
        <w:tc>
          <w:tcPr>
            <w:tcW w:type="dxa" w:w="4968"/>
          </w:tcPr>
          <w:p>
            <w:r>
              <w:t>Plazo deseado</w:t>
            </w:r>
          </w:p>
        </w:tc>
        <w:tc>
          <w:tcPr>
            <w:tcW w:type="dxa" w:w="4968"/>
          </w:tcPr>
          <w:p>
            <w:r>
              <w:t>12 meses</w:t>
            </w:r>
          </w:p>
        </w:tc>
      </w:tr>
      <w:tr>
        <w:tc>
          <w:tcPr>
            <w:tcW w:type="dxa" w:w="4968"/>
          </w:tcPr>
          <w:p>
            <w:r>
              <w:t>Fecha objetivo de firma</w:t>
            </w:r>
          </w:p>
        </w:tc>
        <w:tc>
          <w:tcPr>
            <w:tcW w:type="dxa" w:w="4968"/>
          </w:tcPr>
          <w:p>
            <w:r>
              <w:t>15 de octubre de 2026</w:t>
            </w:r>
          </w:p>
        </w:tc>
      </w:tr>
      <w:tr>
        <w:tc>
          <w:tcPr>
            <w:tcW w:type="dxa" w:w="4968"/>
          </w:tcPr>
          <w:p>
            <w:r>
              <w:t>Datos previstos</w:t>
            </w:r>
          </w:p>
        </w:tc>
        <w:tc>
          <w:tcPr>
            <w:tcW w:type="dxa" w:w="4968"/>
          </w:tcPr>
          <w:p>
            <w:r>
              <w:t>Datos corporativos y datos personales ordinarios de empleados y contactos</w:t>
            </w:r>
          </w:p>
        </w:tc>
      </w:tr>
      <w:tr>
        <w:tc>
          <w:tcPr>
            <w:tcW w:type="dxa" w:w="4968"/>
          </w:tcPr>
          <w:p>
            <w:r>
              <w:t>Estado de aprobaciones</w:t>
            </w:r>
          </w:p>
        </w:tc>
        <w:tc>
          <w:tcPr>
            <w:tcW w:type="dxa" w:w="4968"/>
          </w:tcPr>
          <w:p>
            <w:r>
              <w:t>Responsable de área y Compras disponibles. Sin escalados identificados inicialmente.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