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OrionCloud Analytics - Acuerdo de Suscripción</w:t>
      </w:r>
    </w:p>
    <w:p>
      <w:pPr>
        <w:jc w:val="center"/>
      </w:pPr>
      <w:r>
        <w:rPr>
          <w:i/>
          <w:color w:val="646464"/>
          <w:sz w:val="18"/>
        </w:rPr>
        <w:t>Proveedor ficticio | Borrador comercial recibido por Lumen Retail</w:t>
      </w:r>
    </w:p>
    <w:p/>
    <w:p>
      <w:r>
        <w:rPr>
          <w:b/>
          <w:color w:val="2F75B5"/>
          <w:sz w:val="24"/>
        </w:rPr>
        <w:t>1. Servicio</w:t>
      </w:r>
    </w:p>
    <w:p>
      <w:r>
        <w:t>Plataforma SaaS de analítica comercial y previsión de demanda para 350 usuarios.</w:t>
      </w:r>
    </w:p>
    <w:p>
      <w:r>
        <w:rPr>
          <w:b/>
          <w:color w:val="2F75B5"/>
          <w:sz w:val="24"/>
        </w:rPr>
        <w:t>2. Plazo inicial</w:t>
      </w:r>
    </w:p>
    <w:p>
      <w:r>
        <w:t>Treinta y seis (36) meses desde la fecha de activación. El plazo inicial es no cancelable salvo incumplimiento material del proveedor.</w:t>
      </w:r>
    </w:p>
    <w:p>
      <w:r>
        <w:rPr>
          <w:b/>
          <w:color w:val="2F75B5"/>
          <w:sz w:val="24"/>
        </w:rPr>
        <w:t>3. Tarifas</w:t>
      </w:r>
    </w:p>
    <w:p>
      <w:r>
        <w:t>Suscripción anual: 220.000 EUR. Implantación obligatoria: 60.000 EUR. Facturación anual por adelantado.</w:t>
      </w:r>
    </w:p>
    <w:p>
      <w:r>
        <w:rPr>
          <w:b/>
          <w:color w:val="2F75B5"/>
          <w:sz w:val="24"/>
        </w:rPr>
        <w:t>4. Incrementos</w:t>
      </w:r>
    </w:p>
    <w:p>
      <w:r>
        <w:t>En cada aniversario, la tarifa anual podrá aumentar un 6 % automáticamente.</w:t>
      </w:r>
    </w:p>
    <w:p>
      <w:r>
        <w:rPr>
          <w:b/>
          <w:color w:val="2F75B5"/>
          <w:sz w:val="24"/>
        </w:rPr>
        <w:t>5. Renovación</w:t>
      </w:r>
    </w:p>
    <w:p>
      <w:r>
        <w:t>Tras el plazo inicial, renovación automática por periodos de 12 meses. El cliente debe notificar la no renovación con al menos 30 días de antelación.</w:t>
      </w:r>
    </w:p>
    <w:p>
      <w:r>
        <w:rPr>
          <w:b/>
          <w:color w:val="2F75B5"/>
          <w:sz w:val="24"/>
        </w:rPr>
        <w:t>6. Terminación por incumplimiento</w:t>
      </w:r>
    </w:p>
    <w:p>
      <w:r>
        <w:t>La parte incumplidora dispondrá de 45 días para subsanar un incumplimiento material antes de que la otra parte pueda terminar.</w:t>
      </w:r>
    </w:p>
    <w:p>
      <w:r>
        <w:rPr>
          <w:b/>
          <w:color w:val="2F75B5"/>
          <w:sz w:val="24"/>
        </w:rPr>
        <w:t>7. Cambios del servicio y términos</w:t>
      </w:r>
    </w:p>
    <w:p>
      <w:r>
        <w:t>OrionCloud podrá actualizar sus términos online y características del servicio. Los cambios serán efectivos 15 días después de publicarse.</w:t>
      </w:r>
    </w:p>
    <w:p>
      <w:r>
        <w:rPr>
          <w:b/>
          <w:color w:val="2F75B5"/>
          <w:sz w:val="24"/>
        </w:rPr>
        <w:t>8. Responsabilidad</w:t>
      </w:r>
    </w:p>
    <w:p>
      <w:r>
        <w:t>La responsabilidad agregada del proveedor queda limitada al 50 % de las tarifas pagadas en los 12 meses anteriores. Este límite se aplica también a reclamaciones de privacidad y seguridad, excepto dolo.</w:t>
      </w:r>
    </w:p>
    <w:p>
      <w:r>
        <w:rPr>
          <w:b/>
          <w:color w:val="2F75B5"/>
          <w:sz w:val="24"/>
        </w:rPr>
        <w:t>9. Propiedad intelectual</w:t>
      </w:r>
    </w:p>
    <w:p>
      <w:r>
        <w:t>Cada parte conserva su propiedad intelectual. No se incluye una obligación específica de indemnización del proveedor por reclamaciones de terceros relativas al software.</w:t>
      </w:r>
    </w:p>
    <w:p>
      <w:r>
        <w:rPr>
          <w:b/>
          <w:color w:val="2F75B5"/>
          <w:sz w:val="24"/>
        </w:rPr>
        <w:t>10. Datos personales</w:t>
      </w:r>
    </w:p>
    <w:p>
      <w:r>
        <w:t>El servicio puede tratar datos en centros de datos de la Unión Europea y Estados Unidos. El DPA se proporcionará después de la firma si el cliente lo solicita.</w:t>
      </w:r>
    </w:p>
    <w:p>
      <w:r>
        <w:rPr>
          <w:b/>
          <w:color w:val="2F75B5"/>
          <w:sz w:val="24"/>
        </w:rPr>
        <w:t>11. Incidentes</w:t>
      </w:r>
    </w:p>
    <w:p>
      <w:r>
        <w:t>El proveedor notificará incidentes de seguridad materiales dentro de los cinco días laborables siguientes a su confirmación.</w:t>
      </w:r>
    </w:p>
    <w:p>
      <w:r>
        <w:rPr>
          <w:b/>
          <w:color w:val="2F75B5"/>
          <w:sz w:val="24"/>
        </w:rPr>
        <w:t>12. Ley y jurisdicción</w:t>
      </w:r>
    </w:p>
    <w:p>
      <w:r>
        <w:t>Leyes del Estado de Nueva York. Jurisdicción exclusiva de los tribunales de Nueva York.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