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3460"/>
          <w:sz w:val="17"/>
        </w:rPr>
        <w:t>TENDER REFERENCE: RFP-TELTECH-FWA-2026-001 | OPERATOR: TELTECH / CONVERGE ICT</w:t>
      </w:r>
    </w:p>
    <w:p>
      <w:pPr>
        <w:spacing w:after="40"/>
      </w:pPr>
      <w:r>
        <w:rPr>
          <w:b/>
          <w:color w:val="0F3460"/>
          <w:sz w:val="40"/>
        </w:rPr>
        <w:t>STATEMENT OF WORK (SOW) &amp; MASTER SERVICES RATE CARD</w:t>
      </w:r>
    </w:p>
    <w:p>
      <w:pPr>
        <w:spacing w:after="280"/>
      </w:pPr>
      <w:r>
        <w:rPr>
          <w:i/>
          <w:color w:val="555555"/>
          <w:sz w:val="22"/>
        </w:rPr>
        <w:t>Turnkey 5G FWA Rollout, Site Engineering, Telecom Integration &amp; Operations &amp; Maintenance (O&amp;M)</w:t>
        <w:br/>
        <w:t>Author: Oliver Tungol | Version: 2.0 (Expanded Master Services SOW &amp; Commercial Rate Card)</w:t>
      </w:r>
    </w:p>
    <w:p>
      <w:pPr>
        <w:spacing w:after="280"/>
        <w:pBdr>
          <w:bottom w:val="single" w:sz="12" w:space="1" w:color="0F3460"/>
        </w:pBdr>
      </w:pPr>
    </w:p>
    <w:p>
      <w:pPr>
        <w:pStyle w:val="Heading1"/>
      </w:pPr>
      <w:r>
        <w:rPr>
          <w:b/>
          <w:color w:val="0F3460"/>
        </w:rPr>
        <w:t>1. PROGRAM OVERVIEW &amp; INSTRUCTIONS TO BIDDERS</w:t>
      </w:r>
    </w:p>
    <w:p>
      <w:pPr>
        <w:spacing w:after="160"/>
      </w:pPr>
      <w:r>
        <w:t>This Statement of Work (SOW) defines the mandatory technical specifications, operational execution standards, deliverable milestones, boundaries of responsibility, units of measurement (UoM), and commercial rate card structure governing all service categories under the Nationwide 5G Fixed Wireless Access (FWA) Program (Band n50, 60 MHz TDD). This document integrates and expands the original engineering scope to provide a complete, bankable, and dispute-proof basis for bidder commercial pricing across both Capital Expenditure (Capex) turnkey deployment and Operational Expenditure (Opex) Managed Operations and Maintenance (O&amp;M).</w:t>
      </w:r>
    </w:p>
    <w:p>
      <w:pPr>
        <w:spacing w:after="240"/>
      </w:pPr>
      <w:r>
        <w:t>Bidders are required to quote firm, fixed unit rates in US Dollars (USD) and Philippine Pesos (PHP @ baseline FX 55.00) for every service line item in the Master Pricing Schedule (Section 4). Quoted unit rates shall be all-inclusive of labor, specialized supervision, logistics, tools, testing instrumentation, PPE, per diems, administrative overhead, and contractor margin. These unit rates shall govern both the Phase 1 committed deployment (1,000 macro sites) and all subsequent Phase 2-5 contractual call-offs up to the 5,000-site program footprint.</w:t>
      </w:r>
    </w:p>
    <w:p>
      <w:pPr>
        <w:spacing w:before="120" w:after="240"/>
        <w:pBdr>
          <w:left w:val="single" w:sz="24" w:space="6" w:color="0F3460"/>
        </w:pBdr>
      </w:pPr>
      <w:r>
        <w:rPr>
          <w:i/>
          <w:sz w:val="19"/>
        </w:rPr>
        <w:t>EXPLICIT GOVERNANCE: TOWERCO-LED ACQUISITION BASELINE VS. VENDOR CONTINGENCY RATE CARD</w:t>
        <w:br/>
        <w:br/>
        <w:t>1. PRIMARY OPERATIONAL BASELINE (TOWERCO-LED ACQUISITION):</w:t>
        <w:br/>
        <w:t>The primary operational objective of the Operator is to utilize Independent Tower Companies (TowerCos) under Master Lease Agreements (MLA) — through Tier 1 (Existing Co-Location on audited 13,746 towers) and Tier 2 (TowerCo Build-to-Suit / B2S).</w:t>
        <w:br/>
        <w:t>Under this primary baseline, ALL Site Acquisition (SAQ) work — including candidate hunting, property due diligence, landlord leasing, Barangay clearances, LGU building permits, CAAP clearances, and commercial utility energization — is STRICTLY THE SCOPE AND FINANCIAL RESPONSIBILITY OF THE TOWERCO, NOT THE VENDOR.</w:t>
        <w:br/>
        <w:br/>
        <w:t>2. CANDIDATE HUNTING &amp; MANDATORY JOINT APPROVAL GATE:</w:t>
        <w:br/>
        <w:t>In actual operations, candidate hunting is conducted by the TowerCo. However, candidate acceptance is governed strictly by a Mandatory Joint Approval Gate:</w:t>
        <w:br/>
        <w:t>• Vendor Technical Vetting &amp; Endorsement: The Vendor must perform on-site technical vetting of the candidate for RF line-of-sight (LOS) to the demand settlement centroid, antenna mounting centerline/height, structural loading headroom (EPA), DC power availability, and cable routing feasibility. The Vendor must formally confirm or reject technical feasibility in the TSSR.</w:t>
        <w:br/>
        <w:t>• Operator Commercial &amp; Final Approval: The Operator (TelTech/Comclark) evaluates commercial viability, lease terms under MLA, and issues final formal approval to proceed.</w:t>
        <w:br/>
        <w:t>(No TowerCo candidate shall proceed to deployment without the joint technical endorsement of the Vendor and final approval of the Operator).</w:t>
        <w:br/>
        <w:br/>
        <w:t>3. COMMERCIAL PURPOSE OF VENDOR SAQ RATE CARD (ITEMS SAQ-01 TO SAQ-08):</w:t>
        <w:br/>
        <w:t>The unit rates requested under Category 1 (Site Acquisition &amp; Permitting) are included in the Price Book STRICTLY AS A STANDBY / CONTINGENCY CALL-OFF RATE CARD ('Operator Self-Acquisition / Own-Build Option').</w:t>
        <w:br/>
        <w:t>The Operator requires firm unit pricing in the event that the Operator elects or is compelled to execute direct self-acquisition and self-build (Tier 3 Operator Greenfield Monopole) — such as in unserved remote search rings where zero TowerCos operate, or where all operational TowerCos issue formal structural denial letters or refuse to construct a Build-to-Suit tower.</w:t>
        <w:br/>
        <w:t>CRITICAL BIDDER INSTRUCTION: Bidders shall NOT embed site acquisition, land leasing, or municipal permitting risk markups inside their baseline turnkey hardware, installation (I&amp;C), or co-location pricing. Items SAQ-01 to SAQ-08 are evaluated as a standby rate card and are billable ONLY upon formal written Work Order issued by the Operator for an authorized self-acquired site.</w:t>
      </w:r>
    </w:p>
    <w:p>
      <w:pPr>
        <w:pStyle w:val="Heading1"/>
      </w:pPr>
      <w:r>
        <w:rPr>
          <w:b/>
          <w:color w:val="0F3460"/>
        </w:rPr>
        <w:t>2. DETAILED TECHNICAL SCOPE OF WORK (DEPLOYMENT &amp; ROLLOUT SERVICES)</w:t>
      </w:r>
    </w:p>
    <w:p>
      <w:pPr>
        <w:pStyle w:val="Heading2"/>
      </w:pPr>
      <w:r>
        <w:rPr>
          <w:b/>
          <w:color w:val="0F3460"/>
        </w:rPr>
        <w:t>2.1 Site Acquisition (SAQ) &amp; Legal Permitting Services</w:t>
      </w:r>
    </w:p>
    <w:p>
      <w:pPr>
        <w:spacing w:after="160"/>
      </w:pPr>
      <w:r>
        <w:t>The Contractor shall execute full turnkey Site Acquisition (SAQ) and permitting services. For each assigned nominal search ring (500m urban / 1,000m rural), the Contractor shall hunt and identify three (3) ranked candidates (Candidate A - Primary Co-location, Candidate B - Secondary Backup, Candidate C - Contingency). The Contractor shall submit a standardized Preliminary Candidate Evaluation Report (PCER) followed by a comprehensive Site Acquisition Report (SAR) containing precision WGS84 GPS coordinates (&gt;= 6 decimal places), ground elevation AMSL, property cadastral sketches, verified land title (TCT/OCT/Tax Dec), lessor profile, and 360-degree panoramic photos.</w:t>
        <w:br/>
        <w:br/>
        <w:t>For Co-location sites (897 sites), the Contractor shall prepare the TowerCo Space Application (SAA) loading dossier under the Operator's Master Lease Agreement (MLA). For Greenfield sites (103 sites), the Contractor shall support private lease negotiation and notarization. Permitting scope includes end-to-end processing and securing of: Barangay Resolutions and Clearances, Homeowners Association (HOA) No Objection Resolutions, LGU Building Permits (Architectural, Structural, Civil, Electrical, Mechanical) under PD 1096, CAAP Height Clearance Permits, DENR Environmental CNC/ECC, DPWH ROW clearances, Certificate of Final Electrical Inspection (CFEI), BFP Fire Safety Inspection Certificate (FSIC), utility grid energization (Meralco / Electric Cooperative), and LGU Certificates of Occupancy.</w:t>
      </w:r>
    </w:p>
    <w:p>
      <w:pPr>
        <w:pStyle w:val="Heading2"/>
      </w:pPr>
      <w:r>
        <w:rPr>
          <w:b/>
          <w:color w:val="0F3460"/>
        </w:rPr>
        <w:t>2.2 Site Engineering &amp; Detailed Technical Site Survey (TSSR)</w:t>
      </w:r>
    </w:p>
    <w:p>
      <w:pPr>
        <w:spacing w:after="160"/>
      </w:pPr>
      <w:r>
        <w:t>The Contractor shall conduct rigorous multidisciplinary technical site surveys. Scope includes 360-degree high-resolution panoramic photographic audits at target antenna centerlines (30m to 45m AGL) using calibrated drone flights; physical measurements of compound space (minimum 2.0m x 2.0m pad reservation); cable gantry routing; and logistics route surveys.</w:t>
        <w:br/>
        <w:br/>
        <w:t>Engineering assessments must rigorously evaluate: (1) Structural Loading &amp; Wind Stress: audit of steel members, gussets, and anchor bolts; calculation of total Effective Projected Area (EPA) and operating weight for 3x 8T8R RRUs, 3x macro antennas/AAUs, AMB brackets, and cables; wind stress simulation under TIA-222-H for 250 km/h wind survival (Category 5 typhoon); foundation capacity verification; and formal endorsement by a licensed Professional Structural Engineer (PE). (2) Electrical &amp; DC Power: audit of utility transformer kVA, service entrance breaker, DC power plant headroom, and battery autonomy calculation (&gt;= 4.0h @ 3.0 kW load, &lt;= 80% DoD). (3) Earth Grounding: 3-point fall-of-potential test measuring earth resistance (mandating &lt;= 5.0 Ohms). (4) RF Engineering Siting: verification of line-of-sight (LOS) over target settlement, clutter clearance, and RSSI prediction (&gt;= -95 dBm cell edge). Output deliverables include full AutoCAD Detailed Engineering Design (DED) drawings and post-construction As-Built packages endorsed by licensed Professional Engineers.</w:t>
      </w:r>
    </w:p>
    <w:p>
      <w:pPr>
        <w:pStyle w:val="Heading2"/>
      </w:pPr>
      <w:r>
        <w:rPr>
          <w:b/>
          <w:color w:val="0F3460"/>
        </w:rPr>
        <w:t>2.3 Radio Network Planning &amp; Design (RNPD)</w:t>
      </w:r>
    </w:p>
    <w:p>
      <w:pPr>
        <w:spacing w:after="160"/>
      </w:pPr>
      <w:r>
        <w:t>The Contractor shall perform comprehensive 5G RF planning utilizing advanced 3D ray-tracing propagation modeling engines calibrated with high-resolution 5-meter clutter models and Digital Terrain Models (DTM). Sizing and generation of nominal search rings across barangay demand centroids; coverage mapping (RSRP, SINR, Throughput); capacity dimensioning for Band n50 (60 MHz TDD); and Cell Design Data (CDD) parameter engineering, including cell naming, gNodeB IDs, Physical Cell ID (PCI) planning adhering to modulo-3 and modulo-30 collision rules, Root Sequence Index (RSI), Neighbor Cell Lists (NCL), and eRET profiles.</w:t>
      </w:r>
    </w:p>
    <w:p>
      <w:pPr>
        <w:pStyle w:val="Heading2"/>
      </w:pPr>
      <w:r>
        <w:rPr>
          <w:b/>
          <w:color w:val="0F3460"/>
        </w:rPr>
        <w:t>2.4 Telecom Logistics, Warehousing &amp; Material Handling</w:t>
      </w:r>
    </w:p>
    <w:p>
      <w:pPr>
        <w:spacing w:after="160"/>
      </w:pPr>
      <w:r>
        <w:t>The Contractor shall manage complete end-to-end logistics: receipt of OEM shipments at Port of Manila / Batangas; bonded climate-controlled storage in central Mega Manila and regional hubs (North Luzon, South Luzon, Visayas, Mindanao); serial-level barcode asset scanning and ERP/WMS tracking; bill of materials (BOM) kitting and cable pre-cutting based on approved TSSR; firmware pre-flashing; line-haul freight; and dedicated final-mile rough-road transport to remote barangay sites utilizing heavy-duty 4x4 trucks, motorized boats, or manual porterage across unpaved terrain, fully backed by comprehensive in-transit cargo insurance.</w:t>
      </w:r>
    </w:p>
    <w:p>
      <w:pPr>
        <w:pStyle w:val="Heading2"/>
      </w:pPr>
      <w:r>
        <w:rPr>
          <w:b/>
          <w:color w:val="0F3460"/>
        </w:rPr>
        <w:t>2.5 Telecom Installation, Testing, Commissioning &amp; Integration (TI)</w:t>
      </w:r>
    </w:p>
    <w:p>
      <w:pPr>
        <w:spacing w:after="160"/>
      </w:pPr>
      <w:r>
        <w:t>Executed strictly by certified riggers and telecom engineers: hoisting and mounting 3x macro high-gain antennas and 3x 8T8R RRUs on tower AMBs; setting precise mechanical downtilts and sector azimuths (0°, 120°, 240°); installing eRET cables (AISG 2.0); routing armored optical jumpers and DC power cables along cable ladders; installing cold-shrink weatherproof boots on all RF connectors; installing Type 2 DC Surge Protection Devices (SPD) at tower top and base; bonding 3-point grounding kits to the external ground busbar; 19" rack mounting of BBU in outdoor cabinet; GPS surge arrester and antenna installation for PTP/SyncE; DC turn-up; software baseline loading; optical transceiver power verification; VSWR / Return Loss sweep testing (VSWR &lt;= 1.35:1, Return Loss &gt;= 16.5 dB); IP backhaul integration; Core (UPF/AMF) interface establishment; OSS synchronization; alarm clearance; and commercial on-air declaration.</w:t>
      </w:r>
    </w:p>
    <w:p>
      <w:pPr>
        <w:pStyle w:val="Heading2"/>
      </w:pPr>
      <w:r>
        <w:rPr>
          <w:b/>
          <w:color w:val="0F3460"/>
        </w:rPr>
        <w:t>2.6 Single Site Verification (SSV) &amp; Site Acceptance (ATP)</w:t>
      </w:r>
    </w:p>
    <w:p>
      <w:pPr>
        <w:spacing w:after="160"/>
      </w:pPr>
      <w:r>
        <w:t>Consists of three mandatory acceptance phases: (1) Mechanical &amp; Civil Acceptance (ATP-A): joint visual inspection of bolt torque marks, cable dressing, weatherproofing, grounding resistance (&lt;= 5.0 Ohms), and compound housekeeping. (2) Active Telecom Acceptance (ATP-B): remote EMS diagnostic verification of 8T8R MU-MIMO operation, remote eRET tilt control, and alarm failover simulations. (3) Single Site Verification (SSV): stationary throughput testing at near, mid, and cell-edge points per sector (validating &gt;= 450 Mbps peak DL, &gt;= 50 Mbps cell-edge DL, &gt;= 15 Mbps cell-edge UL), sector swap checks, handover tests, ping/latency verification (&lt;= 18 ms RTT), and submission of the signed SSV Report.</w:t>
      </w:r>
    </w:p>
    <w:p>
      <w:pPr>
        <w:pStyle w:val="Heading2"/>
      </w:pPr>
      <w:r>
        <w:rPr>
          <w:b/>
          <w:color w:val="0F3460"/>
        </w:rPr>
        <w:t>2.7 Cluster Radio Network Optimization (RNO)</w:t>
      </w:r>
    </w:p>
    <w:p>
      <w:pPr>
        <w:spacing w:after="160"/>
      </w:pPr>
      <w:r>
        <w:t>Multi-site cluster optimization across contiguous clusters of 10–20 sites: pre-launch scanner and test UE drive testing; identification of pilot pollution and coverage holes; electrical downtilt (eRET) optimization; azimuth adjustments; PCI re-planning; neighbor list cleanup; handover parameter tuning; and 14-day post-launch OSS statistical validation confirming cluster Radio Availability &gt;= 99.95%, Call Setup Success Rate (CSSR) &gt;= 99.60%, Call Drop Rate (CDDR) &lt;= 0.15%, and cluster average throughput &gt;= 450 Mbps.</w:t>
      </w:r>
    </w:p>
    <w:p>
      <w:pPr>
        <w:pStyle w:val="Heading1"/>
      </w:pPr>
      <w:r>
        <w:rPr>
          <w:b/>
          <w:color w:val="0F3460"/>
        </w:rPr>
        <w:t>3. OPERATIONS &amp; MAINTENANCE (O&amp;M) / MANAGED SERVICES SPECIFICATION</w:t>
      </w:r>
    </w:p>
    <w:p>
      <w:pPr>
        <w:spacing w:after="160"/>
      </w:pPr>
      <w:r>
        <w:t>Operations and Maintenance (O&amp;M) Managed Services represent the critical operational backbone ensuring 99.95% active network availability across the 5,000-site nationwide footprint. The Contractor shall deliver an integrated, multi-tier Managed Services organization operating 24/7/365, governed strictly by the contractual Service Level Agreements (SLAs) and Key Performance Indicators (KPIs) detailed below:</w:t>
      </w:r>
    </w:p>
    <w:p>
      <w:pPr>
        <w:pStyle w:val="Heading2"/>
      </w:pPr>
      <w:r>
        <w:rPr>
          <w:b/>
          <w:color w:val="0F3460"/>
        </w:rPr>
        <w:t>3.1 24/7/365 Central Network Operations Center (NOC) Surveillance &amp; Incident Triage</w:t>
      </w:r>
    </w:p>
    <w:p>
      <w:pPr>
        <w:spacing w:after="160"/>
      </w:pPr>
      <w:r>
        <w:t>• Tier-1 Real-Time Surveillance: Continuous 24/7/365 active monitoring of all active and passive network elements across RAN, Core, Power, and Transmission via operator EMS/OSS. Automated alarm correlation, deduplication, and suppression of transient alarms.</w:t>
        <w:br/>
        <w:t>• Incident Management &amp; Ticketing: Automated trouble ticket generation within 5 minutes of alarm onset. Incident triage, severity classification (Severity 1 Critical to Severity 4 Warning), and immediate automated dispatch of field maintenance crews.</w:t>
        <w:br/>
        <w:t>• Operational Reporting: Automatic generation and delivery of the Daily Operational Flash Report at 06:00 PHT summarizing availability, outages, MTTR compliance, and open tickets, accompanied by weekly operational reviews and monthly SLA governance dossiers.</w:t>
      </w:r>
    </w:p>
    <w:p>
      <w:pPr>
        <w:pStyle w:val="Heading2"/>
      </w:pPr>
      <w:r>
        <w:rPr>
          <w:b/>
          <w:color w:val="0F3460"/>
        </w:rPr>
        <w:t>3.2 Tier-2 / Tier-3 Technical Support &amp; OEM Vendor Escalation</w:t>
      </w:r>
    </w:p>
    <w:p>
      <w:pPr>
        <w:spacing w:after="160"/>
      </w:pPr>
      <w:r>
        <w:t>• Tier-2 Remote Engineering Diagnostics: 24/7 remote diagnostics, soft/hard resets, card re-initialization, backup configuration restorations, transmission routing failover, and software rollbacks to clear network faults without field truck rolls.</w:t>
        <w:br/>
        <w:t>• Tier-3 OEM Technical Assistance Center (TAC) Management: Advanced escalation for complex protocol bugs, persistent crashes, and unresolved anomalies. Logging and managing cases with OEM TAC Level 3, capturing trace logs, testing patches in lab environments, deploying hotfixes, and submitting formal Root Cause Analysis (RCA) reports within 24 hours of major incident restoration.</w:t>
      </w:r>
    </w:p>
    <w:p>
      <w:pPr>
        <w:pStyle w:val="Heading2"/>
      </w:pPr>
      <w:r>
        <w:rPr>
          <w:b/>
          <w:color w:val="0F3460"/>
        </w:rPr>
        <w:t>3.3 Field First Line Maintenance (FLM) &amp; Emergency Corrective Restoration</w:t>
      </w:r>
    </w:p>
    <w:p>
      <w:pPr>
        <w:spacing w:after="160"/>
      </w:pPr>
      <w:r>
        <w:t>• Nationwide 24/7 Mobile Maintenance Crews: Dedicated 2-man maintenance teams strategically deployed across regional depots, equipped with 4x4 heavy-duty vehicles, safety rigging gear, calibrated test instruments, fusion splicers, OTDRs, and emergency spare parts floats.</w:t>
        <w:br/>
        <w:t>• Strict MTTR SLA Compliance: Mandated Mean Time to Restore (MTTR) thresholds calculated from ticket issuance to service restoration:</w:t>
        <w:br/>
        <w:t xml:space="preserve">   - Severity 1 (Critical - Site Outage / Major Core Failure): Response &lt;= 15 Mins | MTTR &lt;= 2.0h (Urban) / &lt;= 4.0h (Rural)</w:t>
        <w:br/>
        <w:t xml:space="preserve">   - Severity 2 (Major - Sector Down / Power Degraded): Response &lt;= 30 Mins | MTTR &lt;= 4.0h (Urban) / &lt;= 6.0h (Rural)</w:t>
        <w:br/>
        <w:t xml:space="preserve">   - Severity 3 (Minor - Non-Service Affecting Fault): Response &lt;= 1 Hour | MTTR &lt;= 12.0h (Urban) / &lt;= 24.0h (Rural)</w:t>
        <w:br/>
        <w:t xml:space="preserve">   - Severity 4 (Warning / Planned Maintenance): Response &lt;= 4 Hours | MTTR &lt;= 48.0h (Urban) / &lt;= 72.0h (Rural)</w:t>
        <w:br/>
        <w:t>• Active Hardware Swapping: On-site replacement of faulty RRUs, BBUs, SFP transceivers, jumpers, and GPS antennas from regional spares.</w:t>
        <w:br/>
        <w:t>• Passive Power Restoration: Resetting/replacing tripped DC breakers, rectifying rectifier faults, clearing battery BMS lockouts, and replacing blown surge protection devices (SPDs).</w:t>
        <w:br/>
        <w:t>• Fiber Transmission Restoration: Emergency OTDR fault localization, optical cable replacement, fusion splicing, and enclosure sealing.</w:t>
      </w:r>
    </w:p>
    <w:p>
      <w:pPr>
        <w:pStyle w:val="Heading2"/>
      </w:pPr>
      <w:r>
        <w:rPr>
          <w:b/>
          <w:color w:val="0F3460"/>
        </w:rPr>
        <w:t>3.4 Scheduled Routine Preventive Maintenance (PM) Program</w:t>
      </w:r>
    </w:p>
    <w:p>
      <w:pPr>
        <w:spacing w:after="160"/>
      </w:pPr>
      <w:r>
        <w:t>The Contractor shall execute 100% quarterly routine preventive maintenance audits across all operational sites. Every PM audit must be executed using the Operator's Mobile Field App with GPS-stamped, timestamped before-and-after photographic evidence:</w:t>
        <w:br/>
        <w:t>• Module A (Telecom Equipment - Quarterly): Visual inspection of BBU/RRU chassis; optical fiber cleaning; RF jumper weatherproofing boot inspection; cable clamp torque check; optical SFP power level verification; and cabinet dust filter cleaning.</w:t>
        <w:br/>
        <w:t>• Module B (DC Power &amp; LiFePO4 Battery - Quarterly): Rectifier module load sharing verification; DC float/equalize voltage calibration; terminal screw torque checks; LiFePO4 battery BMS diagnostic sweep; cell voltage and internal resistance measurement; and 1-hour controlled battery discharge autonomy test under load.</w:t>
        <w:br/>
        <w:t>• Module C (Earth Grounding &amp; Lightning Protection - Quarterly): 3-point fall-of-potential ground resistance testing mandating &lt;= 5.0 Ohms; Cadweld bond inspection; copper busbar torque check; corrosion audit; and air terminal alignment.</w:t>
        <w:br/>
        <w:t>• Module D (Tower Structure &amp; Rigging - Bi-Annual): Climbing audit of steel members, monopole climbing ladders, fall arrest cables, antenna mounting bracket (AMB) bolt torques, antenna azimuth/tilt checks, cable gantry stability, and CAAP aviation light operation.</w:t>
        <w:br/>
        <w:t>• Module E (Compound Civil &amp; Security - Quarterly): Perimeter fence and barbed wire repair, gate lock lubrication, weed cutting and vegetation clearance within 3m perimeter, drainage clearance, and cabinet cable entry rodent/pest proofing.</w:t>
      </w:r>
    </w:p>
    <w:p>
      <w:pPr>
        <w:pStyle w:val="Heading2"/>
      </w:pPr>
      <w:r>
        <w:rPr>
          <w:b/>
          <w:color w:val="0F3460"/>
        </w:rPr>
        <w:t>3.5 Spare Parts Management &amp; RMA Logistics (SPMS)</w:t>
      </w:r>
    </w:p>
    <w:p>
      <w:pPr>
        <w:spacing w:after="160"/>
      </w:pPr>
      <w:r>
        <w:t>• Regional Buffer Float: Operation of climate-controlled regional spare parts depots (Mega Manila, North Luzon, South Luzon, Visayas, Mindanao), maintaining an audited 2.0% active hardware spares float (BBUs, RRUs, SFPs, rectifiers, battery modules, cables).</w:t>
        <w:br/>
        <w:t>• Advance Hardware Replacement (AHR): Guaranteed Next-Business-Day (NBD) standard delivery nationwide, or expedited 4-hour emergency delivery for critical core and transmission hub sites.</w:t>
        <w:br/>
        <w:t>• Return Merchandise Authorization (RMA): Managing the reverse logistics lifecycle: retrieving defective units from field crews, packaging, customs export/import clearance, tracking OEM factory repair (TAT &lt;= 30 calendar days), and restocking repaired units.</w:t>
      </w:r>
    </w:p>
    <w:p>
      <w:pPr>
        <w:pStyle w:val="Heading2"/>
      </w:pPr>
      <w:r>
        <w:rPr>
          <w:b/>
          <w:color w:val="0F3460"/>
        </w:rPr>
        <w:t>3.6 Continuous Radio Network Optimization &amp; Quality Assurance</w:t>
      </w:r>
    </w:p>
    <w:p>
      <w:pPr>
        <w:spacing w:after="160"/>
      </w:pPr>
      <w:r>
        <w:t>• Routine RF KPI Tracking: Ongoing monitoring of Radio Availability (&gt;= 99.95%), Call Setup Success Rate (&gt;= 99.60%), Call Drop Rate (&lt;= 0.15%), average throughput, and PRB utilization. Weekly analysis and remediation of Worst Performing Cells (WPC).</w:t>
        <w:br/>
        <w:t>• Interference Hunting &amp; PIM Mitigation: Spectrum analyzer sweeps to detect and eliminate external RF jamming, unauthorized cellular boosters, or microwave leakage; calibrated PIM testing and remediation on antenna lines; and field drive audits for high-churn clusters.</w:t>
      </w:r>
    </w:p>
    <w:p>
      <w:pPr>
        <w:pStyle w:val="Heading2"/>
      </w:pPr>
      <w:r>
        <w:rPr>
          <w:b/>
          <w:color w:val="0F3460"/>
        </w:rPr>
        <w:t>3.7 Passive Facility, Power Utility &amp; Software Lifecycle Maintenance</w:t>
      </w:r>
    </w:p>
    <w:p>
      <w:pPr>
        <w:spacing w:after="160"/>
      </w:pPr>
      <w:r>
        <w:t>• Civil &amp; Tower Facility Upkeep: Structural steel rust scraping, cold galvanizing, and repainting in coastal/corrosive areas; concrete equipment plinth crack repair and sealant application; and access road drainage clearance.</w:t>
        <w:br/>
        <w:t>• Utility Grid &amp; Genset Coordination: Commercial power utility (Meralco/Coop) meter reading audits and outage coordination; routine 250-hour preventive servicing on backup diesel generator sets (engine oil, filters, coolant); and emergency bulk fuel deliveries.</w:t>
        <w:br/>
        <w:t>• Software Support &amp; Cybersecurity: Applying OEM-approved firmware updates and security patches during maintenance windows (00:00–05:00); CVE vulnerability patching; and automated weekly BBU and Core configuration backups with secure offsite archiving.</w:t>
      </w:r>
    </w:p>
    <w:p>
      <w:pPr>
        <w:pStyle w:val="Heading1"/>
      </w:pPr>
      <w:r>
        <w:rPr>
          <w:b/>
          <w:color w:val="0F3460"/>
        </w:rPr>
        <w:t>4. MASTER SERVICES PRICING SCHEDULE &amp; COMMERCIAL RATE CARD</w:t>
      </w:r>
    </w:p>
    <w:p>
      <w:pPr>
        <w:spacing w:after="200"/>
      </w:pPr>
      <w:r>
        <w:t>Instructions to Bidders: Complete all unit rates in US Dollars (USD) and Philippine Pesos (PHP @ baseline FX 55.00). All quoted unit rates must be firm, fixed, and valid for 180 calendar days. These unit rates shall serve as the official contract rate card for the Phase 1 deployment (1,000 sites), ongoing Managed Services O&amp;M, and all future expansion call-offs (up to 5,000 sites).</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994"/>
        <w:gridCol w:w="994"/>
        <w:gridCol w:w="994"/>
        <w:gridCol w:w="994"/>
        <w:gridCol w:w="994"/>
        <w:gridCol w:w="994"/>
        <w:gridCol w:w="994"/>
        <w:gridCol w:w="994"/>
        <w:gridCol w:w="994"/>
        <w:gridCol w:w="994"/>
      </w:tblGrid>
      <w:tr>
        <w:trPr>
          <w:tblHeader/>
        </w:trPr>
        <w:tc>
          <w:tcPr>
            <w:tcW w:type="dxa" w:w="994"/>
            <w:shd w:fill="0F3460"/>
            <w:tcMar>
              <w:top w:w="120" w:type="dxa"/>
              <w:bottom w:w="120" w:type="dxa"/>
              <w:left w:w="100" w:type="dxa"/>
              <w:right w:w="100" w:type="dxa"/>
            </w:tcMar>
          </w:tcPr>
          <w:p>
            <w:pPr>
              <w:jc w:val="center"/>
            </w:pPr>
            <w:r>
              <w:rPr>
                <w:b/>
                <w:color w:val="FFFFFF"/>
                <w:sz w:val="17"/>
              </w:rPr>
              <w:t>Item Ref</w:t>
            </w:r>
          </w:p>
        </w:tc>
        <w:tc>
          <w:tcPr>
            <w:tcW w:type="dxa" w:w="994"/>
            <w:shd w:fill="0F3460"/>
            <w:tcMar>
              <w:top w:w="120" w:type="dxa"/>
              <w:bottom w:w="120" w:type="dxa"/>
              <w:left w:w="100" w:type="dxa"/>
              <w:right w:w="100" w:type="dxa"/>
            </w:tcMar>
          </w:tcPr>
          <w:p>
            <w:pPr>
              <w:jc w:val="center"/>
            </w:pPr>
            <w:r>
              <w:rPr>
                <w:b/>
                <w:color w:val="FFFFFF"/>
                <w:sz w:val="17"/>
              </w:rPr>
              <w:t>Category / Service Title</w:t>
            </w:r>
          </w:p>
        </w:tc>
        <w:tc>
          <w:tcPr>
            <w:tcW w:type="dxa" w:w="994"/>
            <w:shd w:fill="0F3460"/>
            <w:tcMar>
              <w:top w:w="120" w:type="dxa"/>
              <w:bottom w:w="120" w:type="dxa"/>
              <w:left w:w="100" w:type="dxa"/>
              <w:right w:w="100" w:type="dxa"/>
            </w:tcMar>
          </w:tcPr>
          <w:p>
            <w:pPr>
              <w:jc w:val="center"/>
            </w:pPr>
            <w:r>
              <w:rPr>
                <w:b/>
                <w:color w:val="FFFFFF"/>
                <w:sz w:val="17"/>
              </w:rPr>
              <w:t>Detailed Technical Scope &amp; Boundaries</w:t>
            </w:r>
          </w:p>
        </w:tc>
        <w:tc>
          <w:tcPr>
            <w:tcW w:type="dxa" w:w="994"/>
            <w:shd w:fill="0F3460"/>
            <w:tcMar>
              <w:top w:w="120" w:type="dxa"/>
              <w:bottom w:w="120" w:type="dxa"/>
              <w:left w:w="100" w:type="dxa"/>
              <w:right w:w="100" w:type="dxa"/>
            </w:tcMar>
          </w:tcPr>
          <w:p>
            <w:pPr>
              <w:jc w:val="center"/>
            </w:pPr>
            <w:r>
              <w:rPr>
                <w:b/>
                <w:color w:val="FFFFFF"/>
                <w:sz w:val="17"/>
              </w:rPr>
              <w:t>UoM</w:t>
            </w:r>
          </w:p>
        </w:tc>
        <w:tc>
          <w:tcPr>
            <w:tcW w:type="dxa" w:w="994"/>
            <w:shd w:fill="0F3460"/>
            <w:tcMar>
              <w:top w:w="120" w:type="dxa"/>
              <w:bottom w:w="120" w:type="dxa"/>
              <w:left w:w="100" w:type="dxa"/>
              <w:right w:w="100" w:type="dxa"/>
            </w:tcMar>
          </w:tcPr>
          <w:p>
            <w:pPr>
              <w:jc w:val="center"/>
            </w:pPr>
            <w:r>
              <w:rPr>
                <w:b/>
                <w:color w:val="FFFFFF"/>
                <w:sz w:val="17"/>
              </w:rPr>
              <w:t>Phase 1 Qty</w:t>
            </w:r>
          </w:p>
        </w:tc>
        <w:tc>
          <w:tcPr>
            <w:tcW w:type="dxa" w:w="994"/>
            <w:shd w:fill="0F3460"/>
            <w:tcMar>
              <w:top w:w="120" w:type="dxa"/>
              <w:bottom w:w="120" w:type="dxa"/>
              <w:left w:w="100" w:type="dxa"/>
              <w:right w:w="100" w:type="dxa"/>
            </w:tcMar>
          </w:tcPr>
          <w:p>
            <w:pPr>
              <w:jc w:val="center"/>
            </w:pPr>
            <w:r>
              <w:rPr>
                <w:b/>
                <w:color w:val="FFFFFF"/>
                <w:sz w:val="17"/>
              </w:rPr>
              <w:t>Program Qty</w:t>
            </w:r>
          </w:p>
        </w:tc>
        <w:tc>
          <w:tcPr>
            <w:tcW w:type="dxa" w:w="994"/>
            <w:shd w:fill="0F3460"/>
            <w:tcMar>
              <w:top w:w="120" w:type="dxa"/>
              <w:bottom w:w="120" w:type="dxa"/>
              <w:left w:w="100" w:type="dxa"/>
              <w:right w:w="100" w:type="dxa"/>
            </w:tcMar>
          </w:tcPr>
          <w:p>
            <w:pPr>
              <w:jc w:val="center"/>
            </w:pPr>
            <w:r>
              <w:rPr>
                <w:b/>
                <w:color w:val="FFFFFF"/>
                <w:sz w:val="17"/>
              </w:rPr>
              <w:t>Unit Price (USD)</w:t>
            </w:r>
          </w:p>
        </w:tc>
        <w:tc>
          <w:tcPr>
            <w:tcW w:type="dxa" w:w="994"/>
            <w:shd w:fill="0F3460"/>
            <w:tcMar>
              <w:top w:w="120" w:type="dxa"/>
              <w:bottom w:w="120" w:type="dxa"/>
              <w:left w:w="100" w:type="dxa"/>
              <w:right w:w="100" w:type="dxa"/>
            </w:tcMar>
          </w:tcPr>
          <w:p>
            <w:pPr>
              <w:jc w:val="center"/>
            </w:pPr>
            <w:r>
              <w:rPr>
                <w:b/>
                <w:color w:val="FFFFFF"/>
                <w:sz w:val="17"/>
              </w:rPr>
              <w:t>Unit Price (PHP @ 55)</w:t>
            </w:r>
          </w:p>
        </w:tc>
        <w:tc>
          <w:tcPr>
            <w:tcW w:type="dxa" w:w="994"/>
            <w:shd w:fill="0F3460"/>
            <w:tcMar>
              <w:top w:w="120" w:type="dxa"/>
              <w:bottom w:w="120" w:type="dxa"/>
              <w:left w:w="100" w:type="dxa"/>
              <w:right w:w="100" w:type="dxa"/>
            </w:tcMar>
          </w:tcPr>
          <w:p>
            <w:pPr>
              <w:jc w:val="center"/>
            </w:pPr>
            <w:r>
              <w:rPr>
                <w:b/>
                <w:color w:val="FFFFFF"/>
                <w:sz w:val="17"/>
              </w:rPr>
              <w:t>Billing Milestone Trigger</w:t>
            </w:r>
          </w:p>
        </w:tc>
        <w:tc>
          <w:tcPr>
            <w:tcW w:type="dxa" w:w="994"/>
            <w:shd w:fill="0F3460"/>
            <w:tcMar>
              <w:top w:w="120" w:type="dxa"/>
              <w:bottom w:w="120" w:type="dxa"/>
              <w:left w:w="100" w:type="dxa"/>
              <w:right w:w="100" w:type="dxa"/>
            </w:tcMar>
          </w:tcPr>
          <w:p>
            <w:pPr>
              <w:jc w:val="center"/>
            </w:pPr>
            <w:r>
              <w:rPr>
                <w:b/>
                <w:color w:val="FFFFFF"/>
                <w:sz w:val="17"/>
              </w:rPr>
              <w:t>Deliverable Artifact</w:t>
            </w:r>
          </w:p>
        </w:tc>
      </w:tr>
      <w:tr>
        <w:tc>
          <w:tcPr>
            <w:tcW w:type="dxa" w:w="9940"/>
            <w:gridSpan w:val="10"/>
            <w:shd w:fill="E2E8F0"/>
            <w:tcMar>
              <w:top w:w="100" w:type="dxa"/>
              <w:bottom w:w="100" w:type="dxa"/>
              <w:left w:w="150" w:type="dxa"/>
              <w:right w:w="150" w:type="dxa"/>
            </w:tcMar>
          </w:tcPr>
          <w:p>
            <w:r>
              <w:rPr>
                <w:b/>
                <w:color w:val="0F3460"/>
                <w:sz w:val="18"/>
              </w:rPr>
              <w:t>DOMAIN: SITE ACQUISITION &amp; LEGAL PERMITTING</w:t>
            </w:r>
          </w:p>
        </w:tc>
      </w:tr>
      <w:tr>
        <w:tc>
          <w:tcPr>
            <w:tcW w:type="dxa" w:w="994"/>
            <w:tcMar>
              <w:top w:w="80" w:type="dxa"/>
              <w:bottom w:w="80" w:type="dxa"/>
              <w:left w:w="80" w:type="dxa"/>
              <w:right w:w="80" w:type="dxa"/>
            </w:tcMar>
            <w:vAlign w:val="center"/>
          </w:tcPr>
          <w:p>
            <w:pPr>
              <w:jc w:val="center"/>
            </w:pPr>
            <w:r>
              <w:rPr>
                <w:b/>
                <w:sz w:val="16"/>
              </w:rPr>
              <w:t>SAQ-01</w:t>
            </w:r>
          </w:p>
        </w:tc>
        <w:tc>
          <w:tcPr>
            <w:tcW w:type="dxa" w:w="994"/>
            <w:tcMar>
              <w:top w:w="80" w:type="dxa"/>
              <w:bottom w:w="80" w:type="dxa"/>
              <w:left w:w="80" w:type="dxa"/>
              <w:right w:w="80" w:type="dxa"/>
            </w:tcMar>
            <w:vAlign w:val="center"/>
          </w:tcPr>
          <w:p>
            <w:r>
              <w:rPr>
                <w:sz w:val="16"/>
              </w:rPr>
              <w:t>Nominal Search Ring Siting &amp; Candidate Hunting</w:t>
            </w:r>
          </w:p>
        </w:tc>
        <w:tc>
          <w:tcPr>
            <w:tcW w:type="dxa" w:w="994"/>
            <w:tcMar>
              <w:top w:w="80" w:type="dxa"/>
              <w:bottom w:w="80" w:type="dxa"/>
              <w:left w:w="80" w:type="dxa"/>
              <w:right w:w="80" w:type="dxa"/>
            </w:tcMar>
            <w:vAlign w:val="center"/>
          </w:tcPr>
          <w:p>
            <w:r>
              <w:rPr>
                <w:sz w:val="16"/>
              </w:rPr>
              <w:t>[OPERATIONAL BASELINE: Siting and candidate hunting is executed by the TowerCo. Vendor performs on-site technical vetting (RF LOS, antenna height, structural feasibility) and issues joint endorsement; Operator issues final approval. COMMERCIAL PRICING BASIS: Quoted rate serves strictly as a Standby / Contingency Call-Off Rate Card for Operator Self-Acquisition / Own-Build]. Field identification, screening, and ranking of three (3) viable candidates (Candidate A - Primary, Candidate B - Secondary, Candidate C - Contingency) within the assigned nominal search ring (500m radius for urban/suburban; 1,000m radius for rural). Mandatory spatial screening against audited TowerCo database (13,746 towers) to prioritize Tier 1 co-location. Scope includes visual inspection of antenna mounting feasibility, ground space availability (minimum 2.0m x 2.0m pad), line-of-sight to demand settlement centroid, road access verification (all-weather vs 4x4), and issuance of the Preliminary Candidate Evaluation Report (PCER).</w:t>
              <w:br/>
              <w:t>• Inclusions: Desktop spatial analysis, physical on-ground hunting, 3 candidate identification, GPS logging, PCER compilation.</w:t>
              <w:br/>
              <w:t>• Exclusions: Commercial lease execution (handled by Operator under MLA).</w:t>
            </w:r>
          </w:p>
        </w:tc>
        <w:tc>
          <w:tcPr>
            <w:tcW w:type="dxa" w:w="994"/>
            <w:tcMar>
              <w:top w:w="80" w:type="dxa"/>
              <w:bottom w:w="80" w:type="dxa"/>
              <w:left w:w="80" w:type="dxa"/>
              <w:right w:w="80" w:type="dxa"/>
            </w:tcMar>
            <w:vAlign w:val="center"/>
          </w:tcPr>
          <w:p>
            <w:pPr>
              <w:jc w:val="center"/>
            </w:pPr>
            <w:r>
              <w:rPr>
                <w:b/>
                <w:sz w:val="16"/>
              </w:rPr>
              <w:t>Per Search Ring</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Operator formal approval of PCER ranking 3 compliant candidates.</w:t>
            </w:r>
          </w:p>
        </w:tc>
        <w:tc>
          <w:tcPr>
            <w:tcW w:type="dxa" w:w="994"/>
            <w:tcMar>
              <w:top w:w="80" w:type="dxa"/>
              <w:bottom w:w="80" w:type="dxa"/>
              <w:left w:w="80" w:type="dxa"/>
              <w:right w:w="80" w:type="dxa"/>
            </w:tcMar>
            <w:vAlign w:val="center"/>
          </w:tcPr>
          <w:p>
            <w:r>
              <w:rPr>
                <w:sz w:val="16"/>
              </w:rPr>
              <w:t>Approved Preliminary Candidate Evaluation Report (PCER)</w:t>
            </w:r>
          </w:p>
        </w:tc>
      </w:tr>
      <w:tr>
        <w:tc>
          <w:tcPr>
            <w:tcW w:type="dxa" w:w="994"/>
            <w:tcMar>
              <w:top w:w="80" w:type="dxa"/>
              <w:bottom w:w="80" w:type="dxa"/>
              <w:left w:w="80" w:type="dxa"/>
              <w:right w:w="80" w:type="dxa"/>
            </w:tcMar>
            <w:vAlign w:val="center"/>
          </w:tcPr>
          <w:p>
            <w:pPr>
              <w:jc w:val="center"/>
            </w:pPr>
            <w:r>
              <w:rPr>
                <w:b/>
                <w:sz w:val="16"/>
              </w:rPr>
              <w:t>SAQ-02</w:t>
            </w:r>
          </w:p>
        </w:tc>
        <w:tc>
          <w:tcPr>
            <w:tcW w:type="dxa" w:w="994"/>
            <w:tcMar>
              <w:top w:w="80" w:type="dxa"/>
              <w:bottom w:w="80" w:type="dxa"/>
              <w:left w:w="80" w:type="dxa"/>
              <w:right w:w="80" w:type="dxa"/>
            </w:tcMar>
            <w:vAlign w:val="center"/>
          </w:tcPr>
          <w:p>
            <w:r>
              <w:rPr>
                <w:sz w:val="16"/>
              </w:rPr>
              <w:t>Detailed Site Acquisition Report (SAR) &amp; Technical Dossier</w:t>
            </w:r>
          </w:p>
        </w:tc>
        <w:tc>
          <w:tcPr>
            <w:tcW w:type="dxa" w:w="994"/>
            <w:tcMar>
              <w:top w:w="80" w:type="dxa"/>
              <w:bottom w:w="80" w:type="dxa"/>
              <w:left w:w="80" w:type="dxa"/>
              <w:right w:w="80" w:type="dxa"/>
            </w:tcMar>
            <w:vAlign w:val="center"/>
          </w:tcPr>
          <w:p>
            <w:r>
              <w:rPr>
                <w:sz w:val="16"/>
              </w:rPr>
              <w:t>[OPERATIONAL BASELINE: TowerCo provides primary site attributes and property profile under MLA. Vendor reviews and compiles technical feasibility annex in TSSR; Operator signs off. COMMERCIAL PRICING BASIS: Standby / Contingency Call-Off Rate Card for full standalone SAR compilation during Operator Self-Acquisition]. Comprehensive on-ground site acquisition audit and property investigation for the selected primary candidate. Compilation of standardized Site Acquisition Report (SAR) containing: official PSGC code, precision WGS84 GPS coordinates (&gt;= 6 decimal places), ground elevation AMSL, property cadastral boundary sketch, certified land title verification (TCT/OCT/Tax Declaration), lessor profile and contact matrix, preliminary structural condition assessment, preliminary power availability (grid connection point, transformer distance, utility provider), 360-degree panoramic site photos, logistics route access classification, and SAQ risk assessment matrix.</w:t>
              <w:br/>
              <w:t>• Inclusions: On-ground cadastral audit, title verification, lessor interview, 360-deg photo sweep, complete SAR package.</w:t>
              <w:br/>
              <w:t>• Exclusions: Payment of land rental / lease deposits (direct Operator responsibility).</w:t>
            </w:r>
          </w:p>
        </w:tc>
        <w:tc>
          <w:tcPr>
            <w:tcW w:type="dxa" w:w="994"/>
            <w:tcMar>
              <w:top w:w="80" w:type="dxa"/>
              <w:bottom w:w="80" w:type="dxa"/>
              <w:left w:w="80" w:type="dxa"/>
              <w:right w:w="80" w:type="dxa"/>
            </w:tcMar>
            <w:vAlign w:val="center"/>
          </w:tcPr>
          <w:p>
            <w:pPr>
              <w:jc w:val="center"/>
            </w:pPr>
            <w:r>
              <w:rPr>
                <w:b/>
                <w:sz w:val="16"/>
              </w:rPr>
              <w:t>Per Candidate Site</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formal engineering and legal acceptance of the SAR package by Operator.</w:t>
            </w:r>
          </w:p>
        </w:tc>
        <w:tc>
          <w:tcPr>
            <w:tcW w:type="dxa" w:w="994"/>
            <w:tcMar>
              <w:top w:w="80" w:type="dxa"/>
              <w:bottom w:w="80" w:type="dxa"/>
              <w:left w:w="80" w:type="dxa"/>
              <w:right w:w="80" w:type="dxa"/>
            </w:tcMar>
            <w:vAlign w:val="center"/>
          </w:tcPr>
          <w:p>
            <w:r>
              <w:rPr>
                <w:sz w:val="16"/>
              </w:rPr>
              <w:t>Comprehensive Site Acquisition Report (SAR) Dossier</w:t>
            </w:r>
          </w:p>
        </w:tc>
      </w:tr>
      <w:tr>
        <w:tc>
          <w:tcPr>
            <w:tcW w:type="dxa" w:w="994"/>
            <w:tcMar>
              <w:top w:w="80" w:type="dxa"/>
              <w:bottom w:w="80" w:type="dxa"/>
              <w:left w:w="80" w:type="dxa"/>
              <w:right w:w="80" w:type="dxa"/>
            </w:tcMar>
            <w:vAlign w:val="center"/>
          </w:tcPr>
          <w:p>
            <w:pPr>
              <w:jc w:val="center"/>
            </w:pPr>
            <w:r>
              <w:rPr>
                <w:b/>
                <w:sz w:val="16"/>
              </w:rPr>
              <w:t>SAQ-03</w:t>
            </w:r>
          </w:p>
        </w:tc>
        <w:tc>
          <w:tcPr>
            <w:tcW w:type="dxa" w:w="994"/>
            <w:tcMar>
              <w:top w:w="80" w:type="dxa"/>
              <w:bottom w:w="80" w:type="dxa"/>
              <w:left w:w="80" w:type="dxa"/>
              <w:right w:w="80" w:type="dxa"/>
            </w:tcMar>
            <w:vAlign w:val="center"/>
          </w:tcPr>
          <w:p>
            <w:r>
              <w:rPr>
                <w:sz w:val="16"/>
              </w:rPr>
              <w:t>TowerCo Space Application (SAA) &amp; Technical Dossier Support</w:t>
            </w:r>
          </w:p>
        </w:tc>
        <w:tc>
          <w:tcPr>
            <w:tcW w:type="dxa" w:w="994"/>
            <w:tcMar>
              <w:top w:w="80" w:type="dxa"/>
              <w:bottom w:w="80" w:type="dxa"/>
              <w:left w:w="80" w:type="dxa"/>
              <w:right w:w="80" w:type="dxa"/>
            </w:tcMar>
            <w:vAlign w:val="center"/>
          </w:tcPr>
          <w:p>
            <w:r>
              <w:rPr>
                <w:sz w:val="16"/>
              </w:rPr>
              <w:t>[APPLIES TO TOWERCO CO-LOCATION: Preparation of technical equipment loading profile (3x 8T8R RRU, 3x Antennas, hybrid cables, 2m x 2m pad) and coordination with TowerCo engineering until SAA approval. Commercial lease executed directly by Operator under MLA]. Preparation, technical compilation, submission, and engineering follow-through of the TowerCo Space Application (SAA) package for co-location under Operator's Master Lease Agreement (MLA). Compiles exact proposed loading profile: 3x 8T8R RRU, 3x macro antennas/AAUs, antenna mounting brackets (AMB), hybrid trunk cables, DC distribution requirements, and ground plinth reservation (2.0m x 2.0m). Coordinates with TowerCo technical team during structural vetting until formal issuance of SAA Approval and Notice to Proceed (NTP).</w:t>
              <w:br/>
              <w:t>• Inclusions: SAA documentation, loading calculation submission, liaison with TowerCo engineering, tracking SAA to NTP.</w:t>
              <w:br/>
              <w:t>• Exclusions: Commercial MLA negotiations and monthly tower rental fees (exclusive Operator responsibility).</w:t>
            </w:r>
          </w:p>
        </w:tc>
        <w:tc>
          <w:tcPr>
            <w:tcW w:type="dxa" w:w="994"/>
            <w:tcMar>
              <w:top w:w="80" w:type="dxa"/>
              <w:bottom w:w="80" w:type="dxa"/>
              <w:left w:w="80" w:type="dxa"/>
              <w:right w:w="80" w:type="dxa"/>
            </w:tcMar>
            <w:vAlign w:val="center"/>
          </w:tcPr>
          <w:p>
            <w:pPr>
              <w:jc w:val="center"/>
            </w:pPr>
            <w:r>
              <w:rPr>
                <w:b/>
                <w:sz w:val="16"/>
              </w:rPr>
              <w:t>Per Co-Location Site</w:t>
            </w:r>
          </w:p>
        </w:tc>
        <w:tc>
          <w:tcPr>
            <w:tcW w:type="dxa" w:w="994"/>
            <w:tcMar>
              <w:top w:w="80" w:type="dxa"/>
              <w:bottom w:w="80" w:type="dxa"/>
              <w:left w:w="80" w:type="dxa"/>
              <w:right w:w="80" w:type="dxa"/>
            </w:tcMar>
            <w:vAlign w:val="center"/>
          </w:tcPr>
          <w:p>
            <w:pPr>
              <w:jc w:val="center"/>
            </w:pPr>
            <w:r>
              <w:rPr>
                <w:b/>
                <w:sz w:val="16"/>
              </w:rPr>
              <w:t>897</w:t>
            </w:r>
          </w:p>
        </w:tc>
        <w:tc>
          <w:tcPr>
            <w:tcW w:type="dxa" w:w="994"/>
            <w:tcMar>
              <w:top w:w="80" w:type="dxa"/>
              <w:bottom w:w="80" w:type="dxa"/>
              <w:left w:w="80" w:type="dxa"/>
              <w:right w:w="80" w:type="dxa"/>
            </w:tcMar>
            <w:vAlign w:val="center"/>
          </w:tcPr>
          <w:p>
            <w:pPr>
              <w:jc w:val="center"/>
            </w:pPr>
            <w:r>
              <w:rPr>
                <w:b/>
                <w:sz w:val="16"/>
              </w:rPr>
              <w:t>4,517</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50% upon SAA submission; 50% upon TowerCo issuance of formal SAA Approval / NTP.</w:t>
            </w:r>
          </w:p>
        </w:tc>
        <w:tc>
          <w:tcPr>
            <w:tcW w:type="dxa" w:w="994"/>
            <w:tcMar>
              <w:top w:w="80" w:type="dxa"/>
              <w:bottom w:w="80" w:type="dxa"/>
              <w:left w:w="80" w:type="dxa"/>
              <w:right w:w="80" w:type="dxa"/>
            </w:tcMar>
            <w:vAlign w:val="center"/>
          </w:tcPr>
          <w:p>
            <w:r>
              <w:rPr>
                <w:sz w:val="16"/>
              </w:rPr>
              <w:t>Approved TowerCo SAA &amp; Official Notice to Proceed (NTP)</w:t>
            </w:r>
          </w:p>
        </w:tc>
      </w:tr>
      <w:tr>
        <w:tc>
          <w:tcPr>
            <w:tcW w:type="dxa" w:w="994"/>
            <w:tcMar>
              <w:top w:w="80" w:type="dxa"/>
              <w:bottom w:w="80" w:type="dxa"/>
              <w:left w:w="80" w:type="dxa"/>
              <w:right w:w="80" w:type="dxa"/>
            </w:tcMar>
            <w:vAlign w:val="center"/>
          </w:tcPr>
          <w:p>
            <w:pPr>
              <w:jc w:val="center"/>
            </w:pPr>
            <w:r>
              <w:rPr>
                <w:b/>
                <w:sz w:val="16"/>
              </w:rPr>
              <w:t>SAQ-04</w:t>
            </w:r>
          </w:p>
        </w:tc>
        <w:tc>
          <w:tcPr>
            <w:tcW w:type="dxa" w:w="994"/>
            <w:tcMar>
              <w:top w:w="80" w:type="dxa"/>
              <w:bottom w:w="80" w:type="dxa"/>
              <w:left w:w="80" w:type="dxa"/>
              <w:right w:w="80" w:type="dxa"/>
            </w:tcMar>
            <w:vAlign w:val="center"/>
          </w:tcPr>
          <w:p>
            <w:r>
              <w:rPr>
                <w:sz w:val="16"/>
              </w:rPr>
              <w:t>Greenfield Land Lease Negotiation &amp; Notarized Contract Support</w:t>
            </w:r>
          </w:p>
        </w:tc>
        <w:tc>
          <w:tcPr>
            <w:tcW w:type="dxa" w:w="994"/>
            <w:tcMar>
              <w:top w:w="80" w:type="dxa"/>
              <w:bottom w:w="80" w:type="dxa"/>
              <w:left w:w="80" w:type="dxa"/>
              <w:right w:w="80" w:type="dxa"/>
            </w:tcMar>
            <w:vAlign w:val="center"/>
          </w:tcPr>
          <w:p>
            <w:r>
              <w:rPr>
                <w:sz w:val="16"/>
              </w:rPr>
              <w:t>[CONTINGENCY / SELF-BUILD SCOPE: Applicable strictly to Operator Own-Build Greenfield sites where no TowerCo exists or TowerCo denies build. Direct lessor negotiation, title due diligence, and lease notarization]. Direct lessor negotiations for greenfield sites: boundary survey coordination, verification of registered ownership (clean title check at Registry of Deeds, inheritance/estate verification, real property tax clearance), negotiation of long-term lease terms (10-15 years) within Operator budgetary caps, preparation of lease annexes, securing lessor spousal consent and IDs, and facilitation of formal contract notarization and annotation on title.</w:t>
              <w:br/>
              <w:t>• Inclusions: Lessor negotiations, title due diligence, boundary verification, notary liaison, lease execution assistance.</w:t>
              <w:br/>
              <w:t>• Exclusions: Actual lease rentals, advance deposits, and title annotation official fees (Operator pays directly).</w:t>
            </w:r>
          </w:p>
        </w:tc>
        <w:tc>
          <w:tcPr>
            <w:tcW w:type="dxa" w:w="994"/>
            <w:tcMar>
              <w:top w:w="80" w:type="dxa"/>
              <w:bottom w:w="80" w:type="dxa"/>
              <w:left w:w="80" w:type="dxa"/>
              <w:right w:w="80" w:type="dxa"/>
            </w:tcMar>
            <w:vAlign w:val="center"/>
          </w:tcPr>
          <w:p>
            <w:pPr>
              <w:jc w:val="center"/>
            </w:pPr>
            <w:r>
              <w:rPr>
                <w:b/>
                <w:sz w:val="16"/>
              </w:rPr>
              <w:t>Per Greenfield Site</w:t>
            </w:r>
          </w:p>
        </w:tc>
        <w:tc>
          <w:tcPr>
            <w:tcW w:type="dxa" w:w="994"/>
            <w:tcMar>
              <w:top w:w="80" w:type="dxa"/>
              <w:bottom w:w="80" w:type="dxa"/>
              <w:left w:w="80" w:type="dxa"/>
              <w:right w:w="80" w:type="dxa"/>
            </w:tcMar>
            <w:vAlign w:val="center"/>
          </w:tcPr>
          <w:p>
            <w:pPr>
              <w:jc w:val="center"/>
            </w:pPr>
            <w:r>
              <w:rPr>
                <w:b/>
                <w:sz w:val="16"/>
              </w:rPr>
              <w:t>103</w:t>
            </w:r>
          </w:p>
        </w:tc>
        <w:tc>
          <w:tcPr>
            <w:tcW w:type="dxa" w:w="994"/>
            <w:tcMar>
              <w:top w:w="80" w:type="dxa"/>
              <w:bottom w:w="80" w:type="dxa"/>
              <w:left w:w="80" w:type="dxa"/>
              <w:right w:w="80" w:type="dxa"/>
            </w:tcMar>
            <w:vAlign w:val="center"/>
          </w:tcPr>
          <w:p>
            <w:pPr>
              <w:jc w:val="center"/>
            </w:pPr>
            <w:r>
              <w:rPr>
                <w:b/>
                <w:sz w:val="16"/>
              </w:rPr>
              <w:t>483</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50% upon mutual execution of Lease Agreement; 50% upon Notarization and Title Annotation.</w:t>
            </w:r>
          </w:p>
        </w:tc>
        <w:tc>
          <w:tcPr>
            <w:tcW w:type="dxa" w:w="994"/>
            <w:tcMar>
              <w:top w:w="80" w:type="dxa"/>
              <w:bottom w:w="80" w:type="dxa"/>
              <w:left w:w="80" w:type="dxa"/>
              <w:right w:w="80" w:type="dxa"/>
            </w:tcMar>
            <w:vAlign w:val="center"/>
          </w:tcPr>
          <w:p>
            <w:r>
              <w:rPr>
                <w:sz w:val="16"/>
              </w:rPr>
              <w:t>Executed &amp; Notarized Contract of Lease + Clean Title Dossier</w:t>
            </w:r>
          </w:p>
        </w:tc>
      </w:tr>
      <w:tr>
        <w:tc>
          <w:tcPr>
            <w:tcW w:type="dxa" w:w="994"/>
            <w:tcMar>
              <w:top w:w="80" w:type="dxa"/>
              <w:bottom w:w="80" w:type="dxa"/>
              <w:left w:w="80" w:type="dxa"/>
              <w:right w:w="80" w:type="dxa"/>
            </w:tcMar>
            <w:vAlign w:val="center"/>
          </w:tcPr>
          <w:p>
            <w:pPr>
              <w:jc w:val="center"/>
            </w:pPr>
            <w:r>
              <w:rPr>
                <w:b/>
                <w:sz w:val="16"/>
              </w:rPr>
              <w:t>SAQ-05</w:t>
            </w:r>
          </w:p>
        </w:tc>
        <w:tc>
          <w:tcPr>
            <w:tcW w:type="dxa" w:w="994"/>
            <w:tcMar>
              <w:top w:w="80" w:type="dxa"/>
              <w:bottom w:w="80" w:type="dxa"/>
              <w:left w:w="80" w:type="dxa"/>
              <w:right w:w="80" w:type="dxa"/>
            </w:tcMar>
            <w:vAlign w:val="center"/>
          </w:tcPr>
          <w:p>
            <w:r>
              <w:rPr>
                <w:sz w:val="16"/>
              </w:rPr>
              <w:t>Local Community, Barangay &amp; Neighborhood Clearances</w:t>
            </w:r>
          </w:p>
        </w:tc>
        <w:tc>
          <w:tcPr>
            <w:tcW w:type="dxa" w:w="994"/>
            <w:tcMar>
              <w:top w:w="80" w:type="dxa"/>
              <w:bottom w:w="80" w:type="dxa"/>
              <w:left w:w="80" w:type="dxa"/>
              <w:right w:w="80" w:type="dxa"/>
            </w:tcMar>
            <w:vAlign w:val="center"/>
          </w:tcPr>
          <w:p>
            <w:r>
              <w:rPr>
                <w:sz w:val="16"/>
              </w:rPr>
              <w:t>[OPERATIONAL BASELINE: TowerCo secures community/Barangay clearances for TowerCo towers. COMMERCIAL PRICING BASIS: Standby / Contingency Call-Off Rate Card for Operator Self-Acquisition / Greenfield sites]. Securing official local community clearances: presentation to Barangay Council, public hearing facilitation (if mandated), processing and issuance of official Barangay Resolution of Support, Barangay Construction Clearance, and certified Neighborhood / Homeowners Association (HOA) Resolution / Certificate of No Objection from contiguous property owners within a 50-meter radius.</w:t>
              <w:br/>
              <w:t>• Inclusions: Barangay consultations, neighbor signature campaigns, clearance filing and follow-through, official receipts.</w:t>
              <w:br/>
              <w:t>• Exclusions: Official LGU statutory fees (reimbursable at actual cost against official receipts).</w:t>
            </w:r>
          </w:p>
        </w:tc>
        <w:tc>
          <w:tcPr>
            <w:tcW w:type="dxa" w:w="994"/>
            <w:tcMar>
              <w:top w:w="80" w:type="dxa"/>
              <w:bottom w:w="80" w:type="dxa"/>
              <w:left w:w="80" w:type="dxa"/>
              <w:right w:w="80" w:type="dxa"/>
            </w:tcMar>
            <w:vAlign w:val="center"/>
          </w:tcPr>
          <w:p>
            <w:pPr>
              <w:jc w:val="center"/>
            </w:pPr>
            <w:r>
              <w:rPr>
                <w:b/>
                <w:sz w:val="16"/>
              </w:rPr>
              <w:t>Per Site</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issuance of certified Barangay Clearance &amp; HOA No Objection Resolution.</w:t>
            </w:r>
          </w:p>
        </w:tc>
        <w:tc>
          <w:tcPr>
            <w:tcW w:type="dxa" w:w="994"/>
            <w:tcMar>
              <w:top w:w="80" w:type="dxa"/>
              <w:bottom w:w="80" w:type="dxa"/>
              <w:left w:w="80" w:type="dxa"/>
              <w:right w:w="80" w:type="dxa"/>
            </w:tcMar>
            <w:vAlign w:val="center"/>
          </w:tcPr>
          <w:p>
            <w:r>
              <w:rPr>
                <w:sz w:val="16"/>
              </w:rPr>
              <w:t>Certified Barangay Clearance &amp; HOA Resolution of No Objection</w:t>
            </w:r>
          </w:p>
        </w:tc>
      </w:tr>
      <w:tr>
        <w:tc>
          <w:tcPr>
            <w:tcW w:type="dxa" w:w="994"/>
            <w:tcMar>
              <w:top w:w="80" w:type="dxa"/>
              <w:bottom w:w="80" w:type="dxa"/>
              <w:left w:w="80" w:type="dxa"/>
              <w:right w:w="80" w:type="dxa"/>
            </w:tcMar>
            <w:vAlign w:val="center"/>
          </w:tcPr>
          <w:p>
            <w:pPr>
              <w:jc w:val="center"/>
            </w:pPr>
            <w:r>
              <w:rPr>
                <w:b/>
                <w:sz w:val="16"/>
              </w:rPr>
              <w:t>SAQ-06</w:t>
            </w:r>
          </w:p>
        </w:tc>
        <w:tc>
          <w:tcPr>
            <w:tcW w:type="dxa" w:w="994"/>
            <w:tcMar>
              <w:top w:w="80" w:type="dxa"/>
              <w:bottom w:w="80" w:type="dxa"/>
              <w:left w:w="80" w:type="dxa"/>
              <w:right w:w="80" w:type="dxa"/>
            </w:tcMar>
            <w:vAlign w:val="center"/>
          </w:tcPr>
          <w:p>
            <w:r>
              <w:rPr>
                <w:sz w:val="16"/>
              </w:rPr>
              <w:t>Local Government Unit (LGU) Building &amp; Construction Permits</w:t>
            </w:r>
          </w:p>
        </w:tc>
        <w:tc>
          <w:tcPr>
            <w:tcW w:type="dxa" w:w="994"/>
            <w:tcMar>
              <w:top w:w="80" w:type="dxa"/>
              <w:bottom w:w="80" w:type="dxa"/>
              <w:left w:w="80" w:type="dxa"/>
              <w:right w:w="80" w:type="dxa"/>
            </w:tcMar>
            <w:vAlign w:val="center"/>
          </w:tcPr>
          <w:p>
            <w:r>
              <w:rPr>
                <w:sz w:val="16"/>
              </w:rPr>
              <w:t>[OPERATIONAL BASELINE: TowerCo secures LGU Building Permits under PD 1096 for TowerCo towers. COMMERCIAL PRICING BASIS: Standby / Contingency Call-Off Rate Card for Operator Self-Build Greenfield Monopoles]. Complete processing and procurement of municipal/city LGU Building Permits in accordance with the National Building Code of the Philippines (PD 1096). Scope includes securing Locational Clearance, Zoning Compliance, Architectural Permit, Civil/Structural Permit, Electrical Permit, Sanitary/Plumbing Permit, and Mechanical Permit, backed by complete sets of plans signed and sealed by licensed Professional Engineers (Civil, Structural, Electrical, PEE).</w:t>
              <w:br/>
              <w:t>• Inclusions: Permit application filing, engineering plan liaison, follow-through across city/municipal engineering offices.</w:t>
              <w:br/>
              <w:t>• Exclusions: Official municipal permit assessment fees (reimbursable at face value against official receipts).</w:t>
            </w:r>
          </w:p>
        </w:tc>
        <w:tc>
          <w:tcPr>
            <w:tcW w:type="dxa" w:w="994"/>
            <w:tcMar>
              <w:top w:w="80" w:type="dxa"/>
              <w:bottom w:w="80" w:type="dxa"/>
              <w:left w:w="80" w:type="dxa"/>
              <w:right w:w="80" w:type="dxa"/>
            </w:tcMar>
            <w:vAlign w:val="center"/>
          </w:tcPr>
          <w:p>
            <w:pPr>
              <w:jc w:val="center"/>
            </w:pPr>
            <w:r>
              <w:rPr>
                <w:b/>
                <w:sz w:val="16"/>
              </w:rPr>
              <w:t>Per Greenfield Site / Co-loc where required</w:t>
            </w:r>
          </w:p>
        </w:tc>
        <w:tc>
          <w:tcPr>
            <w:tcW w:type="dxa" w:w="994"/>
            <w:tcMar>
              <w:top w:w="80" w:type="dxa"/>
              <w:bottom w:w="80" w:type="dxa"/>
              <w:left w:w="80" w:type="dxa"/>
              <w:right w:w="80" w:type="dxa"/>
            </w:tcMar>
            <w:vAlign w:val="center"/>
          </w:tcPr>
          <w:p>
            <w:pPr>
              <w:jc w:val="center"/>
            </w:pPr>
            <w:r>
              <w:rPr>
                <w:b/>
                <w:sz w:val="16"/>
              </w:rPr>
              <w:t>103</w:t>
            </w:r>
          </w:p>
        </w:tc>
        <w:tc>
          <w:tcPr>
            <w:tcW w:type="dxa" w:w="994"/>
            <w:tcMar>
              <w:top w:w="80" w:type="dxa"/>
              <w:bottom w:w="80" w:type="dxa"/>
              <w:left w:w="80" w:type="dxa"/>
              <w:right w:w="80" w:type="dxa"/>
            </w:tcMar>
            <w:vAlign w:val="center"/>
          </w:tcPr>
          <w:p>
            <w:pPr>
              <w:jc w:val="center"/>
            </w:pPr>
            <w:r>
              <w:rPr>
                <w:b/>
                <w:sz w:val="16"/>
              </w:rPr>
              <w:t>483</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release of official LGU Building Permit and Approved Engineering Plans.</w:t>
            </w:r>
          </w:p>
        </w:tc>
        <w:tc>
          <w:tcPr>
            <w:tcW w:type="dxa" w:w="994"/>
            <w:tcMar>
              <w:top w:w="80" w:type="dxa"/>
              <w:bottom w:w="80" w:type="dxa"/>
              <w:left w:w="80" w:type="dxa"/>
              <w:right w:w="80" w:type="dxa"/>
            </w:tcMar>
            <w:vAlign w:val="center"/>
          </w:tcPr>
          <w:p>
            <w:r>
              <w:rPr>
                <w:sz w:val="16"/>
              </w:rPr>
              <w:t>Official LGU Building Permit &amp; Endorsed Blueprints</w:t>
            </w:r>
          </w:p>
        </w:tc>
      </w:tr>
      <w:tr>
        <w:tc>
          <w:tcPr>
            <w:tcW w:type="dxa" w:w="994"/>
            <w:tcMar>
              <w:top w:w="80" w:type="dxa"/>
              <w:bottom w:w="80" w:type="dxa"/>
              <w:left w:w="80" w:type="dxa"/>
              <w:right w:w="80" w:type="dxa"/>
            </w:tcMar>
            <w:vAlign w:val="center"/>
          </w:tcPr>
          <w:p>
            <w:pPr>
              <w:jc w:val="center"/>
            </w:pPr>
            <w:r>
              <w:rPr>
                <w:b/>
                <w:sz w:val="16"/>
              </w:rPr>
              <w:t>SAQ-07</w:t>
            </w:r>
          </w:p>
        </w:tc>
        <w:tc>
          <w:tcPr>
            <w:tcW w:type="dxa" w:w="994"/>
            <w:tcMar>
              <w:top w:w="80" w:type="dxa"/>
              <w:bottom w:w="80" w:type="dxa"/>
              <w:left w:w="80" w:type="dxa"/>
              <w:right w:w="80" w:type="dxa"/>
            </w:tcMar>
            <w:vAlign w:val="center"/>
          </w:tcPr>
          <w:p>
            <w:r>
              <w:rPr>
                <w:sz w:val="16"/>
              </w:rPr>
              <w:t>Statutory &amp; Environmental Clearances (CAAP, DENR, DPWH)</w:t>
            </w:r>
          </w:p>
        </w:tc>
        <w:tc>
          <w:tcPr>
            <w:tcW w:type="dxa" w:w="994"/>
            <w:tcMar>
              <w:top w:w="80" w:type="dxa"/>
              <w:bottom w:w="80" w:type="dxa"/>
              <w:left w:w="80" w:type="dxa"/>
              <w:right w:w="80" w:type="dxa"/>
            </w:tcMar>
            <w:vAlign w:val="center"/>
          </w:tcPr>
          <w:p>
            <w:r>
              <w:rPr>
                <w:sz w:val="16"/>
              </w:rPr>
              <w:t>[OPERATIONAL BASELINE: TowerCo secures CAAP Height Clearance and DENR CNC/ECC for TowerCo assets. COMMERCIAL PRICING BASIS: Standby / Contingency Call-Off Rate Card for Operator Self-Build Greenfield Monopoles]. Procurement of mandatory national statutory clearances: Civil Aviation Authority of the Philippines (CAAP) Height Clearance Permit / Obstruction Evaluation; Department of Environment and Natural Resources (DENR) Certificate of Non-Coverage (CNC) or Environmental Compliance Certificate (ECC); and Department of Public Works and Highways (DPWH) Road Right-of-Way (ROW) clearance where site access fronts national highways.</w:t>
              <w:br/>
              <w:t>• Inclusions: Technical submittals, coordinate and elevation certification, CAAP/DENR filing and technical defense.</w:t>
              <w:br/>
              <w:t>• Exclusions: Official statutory assessment fees (reimbursable at actual cost).</w:t>
            </w:r>
          </w:p>
        </w:tc>
        <w:tc>
          <w:tcPr>
            <w:tcW w:type="dxa" w:w="994"/>
            <w:tcMar>
              <w:top w:w="80" w:type="dxa"/>
              <w:bottom w:w="80" w:type="dxa"/>
              <w:left w:w="80" w:type="dxa"/>
              <w:right w:w="80" w:type="dxa"/>
            </w:tcMar>
            <w:vAlign w:val="center"/>
          </w:tcPr>
          <w:p>
            <w:pPr>
              <w:jc w:val="center"/>
            </w:pPr>
            <w:r>
              <w:rPr>
                <w:b/>
                <w:sz w:val="16"/>
              </w:rPr>
              <w:t>Per Site</w:t>
            </w:r>
          </w:p>
        </w:tc>
        <w:tc>
          <w:tcPr>
            <w:tcW w:type="dxa" w:w="994"/>
            <w:tcMar>
              <w:top w:w="80" w:type="dxa"/>
              <w:bottom w:w="80" w:type="dxa"/>
              <w:left w:w="80" w:type="dxa"/>
              <w:right w:w="80" w:type="dxa"/>
            </w:tcMar>
            <w:vAlign w:val="center"/>
          </w:tcPr>
          <w:p>
            <w:pPr>
              <w:jc w:val="center"/>
            </w:pPr>
            <w:r>
              <w:rPr>
                <w:b/>
                <w:sz w:val="16"/>
              </w:rPr>
              <w:t>103</w:t>
            </w:r>
          </w:p>
        </w:tc>
        <w:tc>
          <w:tcPr>
            <w:tcW w:type="dxa" w:w="994"/>
            <w:tcMar>
              <w:top w:w="80" w:type="dxa"/>
              <w:bottom w:w="80" w:type="dxa"/>
              <w:left w:w="80" w:type="dxa"/>
              <w:right w:w="80" w:type="dxa"/>
            </w:tcMar>
            <w:vAlign w:val="center"/>
          </w:tcPr>
          <w:p>
            <w:pPr>
              <w:jc w:val="center"/>
            </w:pPr>
            <w:r>
              <w:rPr>
                <w:b/>
                <w:sz w:val="16"/>
              </w:rPr>
              <w:t>483</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issuance of official CAAP Height Clearance and DENR CNC/ECC.</w:t>
            </w:r>
          </w:p>
        </w:tc>
        <w:tc>
          <w:tcPr>
            <w:tcW w:type="dxa" w:w="994"/>
            <w:tcMar>
              <w:top w:w="80" w:type="dxa"/>
              <w:bottom w:w="80" w:type="dxa"/>
              <w:left w:w="80" w:type="dxa"/>
              <w:right w:w="80" w:type="dxa"/>
            </w:tcMar>
            <w:vAlign w:val="center"/>
          </w:tcPr>
          <w:p>
            <w:r>
              <w:rPr>
                <w:sz w:val="16"/>
              </w:rPr>
              <w:t>Official CAAP Height Clearance Permit &amp; DENR CNC/ECC</w:t>
            </w:r>
          </w:p>
        </w:tc>
      </w:tr>
      <w:tr>
        <w:tc>
          <w:tcPr>
            <w:tcW w:type="dxa" w:w="994"/>
            <w:tcMar>
              <w:top w:w="80" w:type="dxa"/>
              <w:bottom w:w="80" w:type="dxa"/>
              <w:left w:w="80" w:type="dxa"/>
              <w:right w:w="80" w:type="dxa"/>
            </w:tcMar>
            <w:vAlign w:val="center"/>
          </w:tcPr>
          <w:p>
            <w:pPr>
              <w:jc w:val="center"/>
            </w:pPr>
            <w:r>
              <w:rPr>
                <w:b/>
                <w:sz w:val="16"/>
              </w:rPr>
              <w:t>SAQ-08</w:t>
            </w:r>
          </w:p>
        </w:tc>
        <w:tc>
          <w:tcPr>
            <w:tcW w:type="dxa" w:w="994"/>
            <w:tcMar>
              <w:top w:w="80" w:type="dxa"/>
              <w:bottom w:w="80" w:type="dxa"/>
              <w:left w:w="80" w:type="dxa"/>
              <w:right w:w="80" w:type="dxa"/>
            </w:tcMar>
            <w:vAlign w:val="center"/>
          </w:tcPr>
          <w:p>
            <w:r>
              <w:rPr>
                <w:sz w:val="16"/>
              </w:rPr>
              <w:t>Utility Interconnection, CFEI, FSIC &amp; Occupancy Permitting</w:t>
            </w:r>
          </w:p>
        </w:tc>
        <w:tc>
          <w:tcPr>
            <w:tcW w:type="dxa" w:w="994"/>
            <w:tcMar>
              <w:top w:w="80" w:type="dxa"/>
              <w:bottom w:w="80" w:type="dxa"/>
              <w:left w:w="80" w:type="dxa"/>
              <w:right w:w="80" w:type="dxa"/>
            </w:tcMar>
            <w:vAlign w:val="center"/>
          </w:tcPr>
          <w:p>
            <w:r>
              <w:rPr>
                <w:sz w:val="16"/>
              </w:rPr>
              <w:t>[OPERATIONAL BASELINE: TowerCo manages utility service entrance and meter installation on shared compound. COMMERCIAL PRICING BASIS: Standby / Contingency Call-Off Rate Card for Operator Self-Build sites]. Securing post-construction occupancy and power clearances: processing Certificate of Final Electrical Inspection (CFEI), Bureau of Fire Protection (BFP) Fire Safety Inspection Certificate (FSIC), commercial power utility (Meralco / Regional Electric Cooperative) service application, transformer tapping coordination, meter base energization, and municipal LGU Certificate of Final Occupancy / Permit to Operate.</w:t>
              <w:br/>
              <w:t>• Inclusions: BFP inspection facilitation, CFEI filing, utility coordination, meter installation liaison, occupancy release.</w:t>
              <w:br/>
              <w:t>• Exclusions: Utility transformer installation capital contribution and security deposits (paid by Operator).</w:t>
            </w:r>
          </w:p>
        </w:tc>
        <w:tc>
          <w:tcPr>
            <w:tcW w:type="dxa" w:w="994"/>
            <w:tcMar>
              <w:top w:w="80" w:type="dxa"/>
              <w:bottom w:w="80" w:type="dxa"/>
              <w:left w:w="80" w:type="dxa"/>
              <w:right w:w="80" w:type="dxa"/>
            </w:tcMar>
            <w:vAlign w:val="center"/>
          </w:tcPr>
          <w:p>
            <w:pPr>
              <w:jc w:val="center"/>
            </w:pPr>
            <w:r>
              <w:rPr>
                <w:b/>
                <w:sz w:val="16"/>
              </w:rPr>
              <w:t>Per Site</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50% upon CFEI/FSIC release; 50% upon commercial grid energization and Occupancy Permit.</w:t>
            </w:r>
          </w:p>
        </w:tc>
        <w:tc>
          <w:tcPr>
            <w:tcW w:type="dxa" w:w="994"/>
            <w:tcMar>
              <w:top w:w="80" w:type="dxa"/>
              <w:bottom w:w="80" w:type="dxa"/>
              <w:left w:w="80" w:type="dxa"/>
              <w:right w:w="80" w:type="dxa"/>
            </w:tcMar>
            <w:vAlign w:val="center"/>
          </w:tcPr>
          <w:p>
            <w:r>
              <w:rPr>
                <w:sz w:val="16"/>
              </w:rPr>
              <w:t>CFEI, FSIC, Utility Meter Energization Notice &amp; Certificate of Occupancy</w:t>
            </w:r>
          </w:p>
        </w:tc>
      </w:tr>
      <w:tr>
        <w:tc>
          <w:tcPr>
            <w:tcW w:type="dxa" w:w="9940"/>
            <w:gridSpan w:val="10"/>
            <w:shd w:fill="E2E8F0"/>
            <w:tcMar>
              <w:top w:w="100" w:type="dxa"/>
              <w:bottom w:w="100" w:type="dxa"/>
              <w:left w:w="150" w:type="dxa"/>
              <w:right w:w="150" w:type="dxa"/>
            </w:tcMar>
          </w:tcPr>
          <w:p>
            <w:r>
              <w:rPr>
                <w:b/>
                <w:color w:val="0F3460"/>
                <w:sz w:val="18"/>
              </w:rPr>
              <w:t>DOMAIN: SITE ENGINEERING &amp; DETAILED SITE SURVEY</w:t>
            </w:r>
          </w:p>
        </w:tc>
      </w:tr>
      <w:tr>
        <w:tc>
          <w:tcPr>
            <w:tcW w:type="dxa" w:w="994"/>
            <w:tcMar>
              <w:top w:w="80" w:type="dxa"/>
              <w:bottom w:w="80" w:type="dxa"/>
              <w:left w:w="80" w:type="dxa"/>
              <w:right w:w="80" w:type="dxa"/>
            </w:tcMar>
            <w:vAlign w:val="center"/>
          </w:tcPr>
          <w:p>
            <w:pPr>
              <w:jc w:val="center"/>
            </w:pPr>
            <w:r>
              <w:rPr>
                <w:b/>
                <w:sz w:val="16"/>
              </w:rPr>
              <w:t>ENG-01</w:t>
            </w:r>
          </w:p>
        </w:tc>
        <w:tc>
          <w:tcPr>
            <w:tcW w:type="dxa" w:w="994"/>
            <w:tcMar>
              <w:top w:w="80" w:type="dxa"/>
              <w:bottom w:w="80" w:type="dxa"/>
              <w:left w:w="80" w:type="dxa"/>
              <w:right w:w="80" w:type="dxa"/>
            </w:tcMar>
            <w:vAlign w:val="center"/>
          </w:tcPr>
          <w:p>
            <w:r>
              <w:rPr>
                <w:sz w:val="16"/>
              </w:rPr>
              <w:t>Technical Site Survey (TSS) &amp; 360° Drone Panoramic Audit</w:t>
            </w:r>
          </w:p>
        </w:tc>
        <w:tc>
          <w:tcPr>
            <w:tcW w:type="dxa" w:w="994"/>
            <w:tcMar>
              <w:top w:w="80" w:type="dxa"/>
              <w:bottom w:w="80" w:type="dxa"/>
              <w:left w:w="80" w:type="dxa"/>
              <w:right w:w="80" w:type="dxa"/>
            </w:tcMar>
            <w:vAlign w:val="center"/>
          </w:tcPr>
          <w:p>
            <w:r>
              <w:rPr>
                <w:sz w:val="16"/>
              </w:rPr>
              <w:t>Rigorous multi-disciplinary physical site survey executed by licensed telecom and civil engineers: 360° high-resolution panoramic photographic sweep at target antenna centerline (using calibrated drone or mast camera); precision dual-frequency GPS coordinate recording; physical measurement of compound dimensions, tower base, shelter/cabinet footprint; cable gantry routing audit; transport access route assessment (bridge load limits, tight turning radii); and compilation of raw TSS data.</w:t>
              <w:br/>
              <w:t>• Inclusions: Multi-disciplinary field team, calibrated drone flight, 360-deg panoramic photos, spatial sketches, access log.</w:t>
              <w:br/>
              <w:t>• Exclusions: Tower climbing above 60m (requires separate high-mast specialized rigging permit if applicable).</w:t>
            </w:r>
          </w:p>
        </w:tc>
        <w:tc>
          <w:tcPr>
            <w:tcW w:type="dxa" w:w="994"/>
            <w:tcMar>
              <w:top w:w="80" w:type="dxa"/>
              <w:bottom w:w="80" w:type="dxa"/>
              <w:left w:w="80" w:type="dxa"/>
              <w:right w:w="80" w:type="dxa"/>
            </w:tcMar>
            <w:vAlign w:val="center"/>
          </w:tcPr>
          <w:p>
            <w:pPr>
              <w:jc w:val="center"/>
            </w:pPr>
            <w:r>
              <w:rPr>
                <w:b/>
                <w:sz w:val="16"/>
              </w:rPr>
              <w:t>Per Site</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completion of field survey and upload of raw survey package and photos.</w:t>
            </w:r>
          </w:p>
        </w:tc>
        <w:tc>
          <w:tcPr>
            <w:tcW w:type="dxa" w:w="994"/>
            <w:tcMar>
              <w:top w:w="80" w:type="dxa"/>
              <w:bottom w:w="80" w:type="dxa"/>
              <w:left w:w="80" w:type="dxa"/>
              <w:right w:w="80" w:type="dxa"/>
            </w:tcMar>
            <w:vAlign w:val="center"/>
          </w:tcPr>
          <w:p>
            <w:r>
              <w:rPr>
                <w:sz w:val="16"/>
              </w:rPr>
              <w:t>Raw TSS Survey Package &amp; High-Resolution 360° Panoramic Photo Suite</w:t>
            </w:r>
          </w:p>
        </w:tc>
      </w:tr>
      <w:tr>
        <w:tc>
          <w:tcPr>
            <w:tcW w:type="dxa" w:w="994"/>
            <w:tcMar>
              <w:top w:w="80" w:type="dxa"/>
              <w:bottom w:w="80" w:type="dxa"/>
              <w:left w:w="80" w:type="dxa"/>
              <w:right w:w="80" w:type="dxa"/>
            </w:tcMar>
            <w:vAlign w:val="center"/>
          </w:tcPr>
          <w:p>
            <w:pPr>
              <w:jc w:val="center"/>
            </w:pPr>
            <w:r>
              <w:rPr>
                <w:b/>
                <w:sz w:val="16"/>
              </w:rPr>
              <w:t>ENG-02</w:t>
            </w:r>
          </w:p>
        </w:tc>
        <w:tc>
          <w:tcPr>
            <w:tcW w:type="dxa" w:w="994"/>
            <w:tcMar>
              <w:top w:w="80" w:type="dxa"/>
              <w:bottom w:w="80" w:type="dxa"/>
              <w:left w:w="80" w:type="dxa"/>
              <w:right w:w="80" w:type="dxa"/>
            </w:tcMar>
            <w:vAlign w:val="center"/>
          </w:tcPr>
          <w:p>
            <w:r>
              <w:rPr>
                <w:sz w:val="16"/>
              </w:rPr>
              <w:t>Structural Loading, Wind Stress &amp; Civil Engineering Assessment</w:t>
            </w:r>
          </w:p>
        </w:tc>
        <w:tc>
          <w:tcPr>
            <w:tcW w:type="dxa" w:w="994"/>
            <w:tcMar>
              <w:top w:w="80" w:type="dxa"/>
              <w:bottom w:w="80" w:type="dxa"/>
              <w:left w:w="80" w:type="dxa"/>
              <w:right w:w="80" w:type="dxa"/>
            </w:tcMar>
            <w:vAlign w:val="center"/>
          </w:tcPr>
          <w:p>
            <w:r>
              <w:rPr>
                <w:sz w:val="16"/>
              </w:rPr>
              <w:t>Engineering structural evaluation of the proposed host structure (tower, rooftop, or monopole): audit of steel member sections, bracing, gusset plates, anchor bolts, and corrosion condition; calculation of total Effective Projected Area (EPA) and weight for new equipment (3x 8T8R RRU, 3x macro antennas/AAUs, AMB brackets, hybrid cable); structural wind load simulation under TIA-222-H for 250 km/h basic wind speed (Category 5 typhoon standard); foundation capacity verification; and formal structural analysis report certified by a licensed Professional Structural Engineer (PE).</w:t>
              <w:br/>
              <w:t>• Inclusions: Structural audit, EPA calculations, TIA-222-H wind simulation, foundation check, PE sign-off.</w:t>
              <w:br/>
              <w:t>• Exclusions: Tower reinforcement civil execution (governed by separate structural modification call-out rate card).</w:t>
            </w:r>
          </w:p>
        </w:tc>
        <w:tc>
          <w:tcPr>
            <w:tcW w:type="dxa" w:w="994"/>
            <w:tcMar>
              <w:top w:w="80" w:type="dxa"/>
              <w:bottom w:w="80" w:type="dxa"/>
              <w:left w:w="80" w:type="dxa"/>
              <w:right w:w="80" w:type="dxa"/>
            </w:tcMar>
            <w:vAlign w:val="center"/>
          </w:tcPr>
          <w:p>
            <w:pPr>
              <w:jc w:val="center"/>
            </w:pPr>
            <w:r>
              <w:rPr>
                <w:b/>
                <w:sz w:val="16"/>
              </w:rPr>
              <w:t>Per Site</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submission and acceptance of the PE-Endorsed Structural Analysis Report.</w:t>
            </w:r>
          </w:p>
        </w:tc>
        <w:tc>
          <w:tcPr>
            <w:tcW w:type="dxa" w:w="994"/>
            <w:tcMar>
              <w:top w:w="80" w:type="dxa"/>
              <w:bottom w:w="80" w:type="dxa"/>
              <w:left w:w="80" w:type="dxa"/>
              <w:right w:w="80" w:type="dxa"/>
            </w:tcMar>
            <w:vAlign w:val="center"/>
          </w:tcPr>
          <w:p>
            <w:r>
              <w:rPr>
                <w:sz w:val="16"/>
              </w:rPr>
              <w:t>PE-Signed Structural Engineering Analysis &amp; Loading Report</w:t>
            </w:r>
          </w:p>
        </w:tc>
      </w:tr>
      <w:tr>
        <w:tc>
          <w:tcPr>
            <w:tcW w:type="dxa" w:w="994"/>
            <w:tcMar>
              <w:top w:w="80" w:type="dxa"/>
              <w:bottom w:w="80" w:type="dxa"/>
              <w:left w:w="80" w:type="dxa"/>
              <w:right w:w="80" w:type="dxa"/>
            </w:tcMar>
            <w:vAlign w:val="center"/>
          </w:tcPr>
          <w:p>
            <w:pPr>
              <w:jc w:val="center"/>
            </w:pPr>
            <w:r>
              <w:rPr>
                <w:b/>
                <w:sz w:val="16"/>
              </w:rPr>
              <w:t>ENG-03</w:t>
            </w:r>
          </w:p>
        </w:tc>
        <w:tc>
          <w:tcPr>
            <w:tcW w:type="dxa" w:w="994"/>
            <w:tcMar>
              <w:top w:w="80" w:type="dxa"/>
              <w:bottom w:w="80" w:type="dxa"/>
              <w:left w:w="80" w:type="dxa"/>
              <w:right w:w="80" w:type="dxa"/>
            </w:tcMar>
            <w:vAlign w:val="center"/>
          </w:tcPr>
          <w:p>
            <w:r>
              <w:rPr>
                <w:sz w:val="16"/>
              </w:rPr>
              <w:t>Electrical, DC Power &amp; Earth Grounding Engineering Assessment</w:t>
            </w:r>
          </w:p>
        </w:tc>
        <w:tc>
          <w:tcPr>
            <w:tcW w:type="dxa" w:w="994"/>
            <w:tcMar>
              <w:top w:w="80" w:type="dxa"/>
              <w:bottom w:w="80" w:type="dxa"/>
              <w:left w:w="80" w:type="dxa"/>
              <w:right w:w="80" w:type="dxa"/>
            </w:tcMar>
            <w:vAlign w:val="center"/>
          </w:tcPr>
          <w:p>
            <w:r>
              <w:rPr>
                <w:sz w:val="16"/>
              </w:rPr>
              <w:t>Electrical engineering audit of commercial AC utility power and DC power plant: inspection of transformer capacity (kVA), service entrance voltage, phase balance, AC main breaker rating; assessment of existing DC power plant (rectifier total capacity, SMPS controller, available DC branch breakers &gt;= 63A for new radio load); calculation of LiFePO4 battery autonomy (minimum 4.0h @ 3.0 kW load, &lt;= 80% DoD); and 3-point fall-of-potential earth resistance measurement of the grounding grid, mandating &lt;= 5.0 Ohms pursuant to Philippine Electrical Code (PEC) and TelTech engineering specifications.</w:t>
              <w:br/>
              <w:t>• Inclusions: Commercial power audit, DC rectifier capacity calculation, battery autonomy simulation, 3-point earth test.</w:t>
              <w:br/>
              <w:t>• Exclusions: Major utility transformer upgrades (handled under utility capex contribution).</w:t>
            </w:r>
          </w:p>
        </w:tc>
        <w:tc>
          <w:tcPr>
            <w:tcW w:type="dxa" w:w="994"/>
            <w:tcMar>
              <w:top w:w="80" w:type="dxa"/>
              <w:bottom w:w="80" w:type="dxa"/>
              <w:left w:w="80" w:type="dxa"/>
              <w:right w:w="80" w:type="dxa"/>
            </w:tcMar>
            <w:vAlign w:val="center"/>
          </w:tcPr>
          <w:p>
            <w:pPr>
              <w:jc w:val="center"/>
            </w:pPr>
            <w:r>
              <w:rPr>
                <w:b/>
                <w:sz w:val="16"/>
              </w:rPr>
              <w:t>Per Site</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Operator acceptance of Electrical &amp; Power Assessment Report.</w:t>
            </w:r>
          </w:p>
        </w:tc>
        <w:tc>
          <w:tcPr>
            <w:tcW w:type="dxa" w:w="994"/>
            <w:tcMar>
              <w:top w:w="80" w:type="dxa"/>
              <w:bottom w:w="80" w:type="dxa"/>
              <w:left w:w="80" w:type="dxa"/>
              <w:right w:w="80" w:type="dxa"/>
            </w:tcMar>
            <w:vAlign w:val="center"/>
          </w:tcPr>
          <w:p>
            <w:r>
              <w:rPr>
                <w:sz w:val="16"/>
              </w:rPr>
              <w:t>Electrical, Power &amp; Grounding Engineering Assessment Report</w:t>
            </w:r>
          </w:p>
        </w:tc>
      </w:tr>
      <w:tr>
        <w:tc>
          <w:tcPr>
            <w:tcW w:type="dxa" w:w="994"/>
            <w:tcMar>
              <w:top w:w="80" w:type="dxa"/>
              <w:bottom w:w="80" w:type="dxa"/>
              <w:left w:w="80" w:type="dxa"/>
              <w:right w:w="80" w:type="dxa"/>
            </w:tcMar>
            <w:vAlign w:val="center"/>
          </w:tcPr>
          <w:p>
            <w:pPr>
              <w:jc w:val="center"/>
            </w:pPr>
            <w:r>
              <w:rPr>
                <w:b/>
                <w:sz w:val="16"/>
              </w:rPr>
              <w:t>ENG-04</w:t>
            </w:r>
          </w:p>
        </w:tc>
        <w:tc>
          <w:tcPr>
            <w:tcW w:type="dxa" w:w="994"/>
            <w:tcMar>
              <w:top w:w="80" w:type="dxa"/>
              <w:bottom w:w="80" w:type="dxa"/>
              <w:left w:w="80" w:type="dxa"/>
              <w:right w:w="80" w:type="dxa"/>
            </w:tcMar>
            <w:vAlign w:val="center"/>
          </w:tcPr>
          <w:p>
            <w:r>
              <w:rPr>
                <w:sz w:val="16"/>
              </w:rPr>
              <w:t>RF Engineering Siting, Line-of-Sight (LOS) &amp; Clutter Assessment</w:t>
            </w:r>
          </w:p>
        </w:tc>
        <w:tc>
          <w:tcPr>
            <w:tcW w:type="dxa" w:w="994"/>
            <w:tcMar>
              <w:top w:w="80" w:type="dxa"/>
              <w:bottom w:w="80" w:type="dxa"/>
              <w:left w:w="80" w:type="dxa"/>
              <w:right w:w="80" w:type="dxa"/>
            </w:tcMar>
            <w:vAlign w:val="center"/>
          </w:tcPr>
          <w:p>
            <w:r>
              <w:rPr>
                <w:sz w:val="16"/>
              </w:rPr>
              <w:t>On-site RF validation of nominal design coverage over target barangay demand centroid: physical line-of-sight (LOS) inspection at proposed antenna centerlines (30m, 35m, 40m AGL); clutter height and foliage density classification; identification of close-in obstructions within 200m of sector azimuths (0°, 120°, 240°); calculation of first Fresnel zone clearance; and field verification that simulated coverage will achieve target cell-edge RSRP &gt;= -95 dBm and SINR &gt;= 6 dB.</w:t>
              <w:br/>
              <w:t>• Inclusions: On-ground visual LOS audit, clutter verification, azimuth clearance check, RF siting validation report.</w:t>
              <w:br/>
              <w:t>• Exclusions: Continuous cluster drive test (governed under Lot 5 Scope RNO-01).</w:t>
            </w:r>
          </w:p>
        </w:tc>
        <w:tc>
          <w:tcPr>
            <w:tcW w:type="dxa" w:w="994"/>
            <w:tcMar>
              <w:top w:w="80" w:type="dxa"/>
              <w:bottom w:w="80" w:type="dxa"/>
              <w:left w:w="80" w:type="dxa"/>
              <w:right w:w="80" w:type="dxa"/>
            </w:tcMar>
            <w:vAlign w:val="center"/>
          </w:tcPr>
          <w:p>
            <w:pPr>
              <w:jc w:val="center"/>
            </w:pPr>
            <w:r>
              <w:rPr>
                <w:b/>
                <w:sz w:val="16"/>
              </w:rPr>
              <w:t>Per Site</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RF Engineering approval of Siting &amp; LOS Report.</w:t>
            </w:r>
          </w:p>
        </w:tc>
        <w:tc>
          <w:tcPr>
            <w:tcW w:type="dxa" w:w="994"/>
            <w:tcMar>
              <w:top w:w="80" w:type="dxa"/>
              <w:bottom w:w="80" w:type="dxa"/>
              <w:left w:w="80" w:type="dxa"/>
              <w:right w:w="80" w:type="dxa"/>
            </w:tcMar>
            <w:vAlign w:val="center"/>
          </w:tcPr>
          <w:p>
            <w:r>
              <w:rPr>
                <w:sz w:val="16"/>
              </w:rPr>
              <w:t>RF Siting &amp; Line-of-Sight (LOS) Clearance Report</w:t>
            </w:r>
          </w:p>
        </w:tc>
      </w:tr>
      <w:tr>
        <w:tc>
          <w:tcPr>
            <w:tcW w:type="dxa" w:w="994"/>
            <w:tcMar>
              <w:top w:w="80" w:type="dxa"/>
              <w:bottom w:w="80" w:type="dxa"/>
              <w:left w:w="80" w:type="dxa"/>
              <w:right w:w="80" w:type="dxa"/>
            </w:tcMar>
            <w:vAlign w:val="center"/>
          </w:tcPr>
          <w:p>
            <w:pPr>
              <w:jc w:val="center"/>
            </w:pPr>
            <w:r>
              <w:rPr>
                <w:b/>
                <w:sz w:val="16"/>
              </w:rPr>
              <w:t>ENG-05</w:t>
            </w:r>
          </w:p>
        </w:tc>
        <w:tc>
          <w:tcPr>
            <w:tcW w:type="dxa" w:w="994"/>
            <w:tcMar>
              <w:top w:w="80" w:type="dxa"/>
              <w:bottom w:w="80" w:type="dxa"/>
              <w:left w:w="80" w:type="dxa"/>
              <w:right w:w="80" w:type="dxa"/>
            </w:tcMar>
            <w:vAlign w:val="center"/>
          </w:tcPr>
          <w:p>
            <w:r>
              <w:rPr>
                <w:sz w:val="16"/>
              </w:rPr>
              <w:t>Detailed Engineering Design (DED) &amp; Technical Site Survey Report (TSSR)</w:t>
            </w:r>
          </w:p>
        </w:tc>
        <w:tc>
          <w:tcPr>
            <w:tcW w:type="dxa" w:w="994"/>
            <w:tcMar>
              <w:top w:w="80" w:type="dxa"/>
              <w:bottom w:w="80" w:type="dxa"/>
              <w:left w:w="80" w:type="dxa"/>
              <w:right w:w="80" w:type="dxa"/>
            </w:tcMar>
            <w:vAlign w:val="center"/>
          </w:tcPr>
          <w:p>
            <w:r>
              <w:rPr>
                <w:sz w:val="16"/>
              </w:rPr>
              <w:t>Consolidation of multidisciplinary survey data into a complete Detailed Engineering Design (DED) blueprint package and Technical Site Survey Report (TSSR): Architectural Site Layout Plan; Tower Elevation &amp; Antenna Orientation Plan; Antenna Mounting Bracket (AMB) Fabrication Details; Cable Ladder, Gantry &amp; Cable Tray Routing Plan; Electrical Single Line Diagram (SLD); Earth Grounding Ring &amp; Lightning Protection Layout; Site Bill of Quantities (BoQ); and formal endorsement by licensed Professional Engineers (PE-Civil/Structural, PE-Electrical, PECE-Electronics) conforming to NBCP and PEC.</w:t>
              <w:br/>
              <w:t>• Inclusions: AutoCAD DED drawings, multi-PE signed &amp; sealed plans, BoQ compilation, full TSSR dossier submission.</w:t>
              <w:br/>
              <w:t>• Exclusions: Structural redesigns necessitated by Operator-mandated changes to nominal search ring after survey approval.</w:t>
            </w:r>
          </w:p>
        </w:tc>
        <w:tc>
          <w:tcPr>
            <w:tcW w:type="dxa" w:w="994"/>
            <w:tcMar>
              <w:top w:w="80" w:type="dxa"/>
              <w:bottom w:w="80" w:type="dxa"/>
              <w:left w:w="80" w:type="dxa"/>
              <w:right w:w="80" w:type="dxa"/>
            </w:tcMar>
            <w:vAlign w:val="center"/>
          </w:tcPr>
          <w:p>
            <w:pPr>
              <w:jc w:val="center"/>
            </w:pPr>
            <w:r>
              <w:rPr>
                <w:b/>
                <w:sz w:val="16"/>
              </w:rPr>
              <w:t>Per Site</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formal joint Operator-TowerCo TSSR approval.</w:t>
            </w:r>
          </w:p>
        </w:tc>
        <w:tc>
          <w:tcPr>
            <w:tcW w:type="dxa" w:w="994"/>
            <w:tcMar>
              <w:top w:w="80" w:type="dxa"/>
              <w:bottom w:w="80" w:type="dxa"/>
              <w:left w:w="80" w:type="dxa"/>
              <w:right w:w="80" w:type="dxa"/>
            </w:tcMar>
            <w:vAlign w:val="center"/>
          </w:tcPr>
          <w:p>
            <w:r>
              <w:rPr>
                <w:sz w:val="16"/>
              </w:rPr>
              <w:t>Approved TSSR Dossier with PE Signed &amp; Sealed CAD Blueprints</w:t>
            </w:r>
          </w:p>
        </w:tc>
      </w:tr>
      <w:tr>
        <w:tc>
          <w:tcPr>
            <w:tcW w:type="dxa" w:w="994"/>
            <w:tcMar>
              <w:top w:w="80" w:type="dxa"/>
              <w:bottom w:w="80" w:type="dxa"/>
              <w:left w:w="80" w:type="dxa"/>
              <w:right w:w="80" w:type="dxa"/>
            </w:tcMar>
            <w:vAlign w:val="center"/>
          </w:tcPr>
          <w:p>
            <w:pPr>
              <w:jc w:val="center"/>
            </w:pPr>
            <w:r>
              <w:rPr>
                <w:b/>
                <w:sz w:val="16"/>
              </w:rPr>
              <w:t>ENG-06</w:t>
            </w:r>
          </w:p>
        </w:tc>
        <w:tc>
          <w:tcPr>
            <w:tcW w:type="dxa" w:w="994"/>
            <w:tcMar>
              <w:top w:w="80" w:type="dxa"/>
              <w:bottom w:w="80" w:type="dxa"/>
              <w:left w:w="80" w:type="dxa"/>
              <w:right w:w="80" w:type="dxa"/>
            </w:tcMar>
            <w:vAlign w:val="center"/>
          </w:tcPr>
          <w:p>
            <w:r>
              <w:rPr>
                <w:sz w:val="16"/>
              </w:rPr>
              <w:t>As-Built Engineering Documentation &amp; Final Completion Dossier</w:t>
            </w:r>
          </w:p>
        </w:tc>
        <w:tc>
          <w:tcPr>
            <w:tcW w:type="dxa" w:w="994"/>
            <w:tcMar>
              <w:top w:w="80" w:type="dxa"/>
              <w:bottom w:w="80" w:type="dxa"/>
              <w:left w:w="80" w:type="dxa"/>
              <w:right w:w="80" w:type="dxa"/>
            </w:tcMar>
            <w:vAlign w:val="center"/>
          </w:tcPr>
          <w:p>
            <w:r>
              <w:rPr>
                <w:sz w:val="16"/>
              </w:rPr>
              <w:t>Comprehensive post-construction field engineering audit capturing all redline installation adjustments: updating AutoCAD drawings to reflect exact as-built antenna heights, azimuths, mechanical tilts, optical cable routes, rack layouts, breaker allocations, and grounding busbar termination points; compiling comprehensive photographic completion book (minimum 50 high-res timestamped photos per site); and securing final Professional Engineer endorsement.</w:t>
              <w:br/>
              <w:t>• Inclusions: Field redline audit, final CAD as-built drawings (DWG &amp; PDF), photographic completion book, PE endorsement.</w:t>
              <w:br/>
              <w:t>• Exclusions: Routine operational documentation updates post-commercial acceptance.</w:t>
            </w:r>
          </w:p>
        </w:tc>
        <w:tc>
          <w:tcPr>
            <w:tcW w:type="dxa" w:w="994"/>
            <w:tcMar>
              <w:top w:w="80" w:type="dxa"/>
              <w:bottom w:w="80" w:type="dxa"/>
              <w:left w:w="80" w:type="dxa"/>
              <w:right w:w="80" w:type="dxa"/>
            </w:tcMar>
            <w:vAlign w:val="center"/>
          </w:tcPr>
          <w:p>
            <w:pPr>
              <w:jc w:val="center"/>
            </w:pPr>
            <w:r>
              <w:rPr>
                <w:b/>
                <w:sz w:val="16"/>
              </w:rPr>
              <w:t>Per Site</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formal issuance of the Final Acceptance Certificate (FAC).</w:t>
            </w:r>
          </w:p>
        </w:tc>
        <w:tc>
          <w:tcPr>
            <w:tcW w:type="dxa" w:w="994"/>
            <w:tcMar>
              <w:top w:w="80" w:type="dxa"/>
              <w:bottom w:w="80" w:type="dxa"/>
              <w:left w:w="80" w:type="dxa"/>
              <w:right w:w="80" w:type="dxa"/>
            </w:tcMar>
            <w:vAlign w:val="center"/>
          </w:tcPr>
          <w:p>
            <w:r>
              <w:rPr>
                <w:sz w:val="16"/>
              </w:rPr>
              <w:t>Final As-Built CAD Drawings (DWG &amp; PDF) + Photographic Completion Book</w:t>
            </w:r>
          </w:p>
        </w:tc>
      </w:tr>
      <w:tr>
        <w:tc>
          <w:tcPr>
            <w:tcW w:type="dxa" w:w="9940"/>
            <w:gridSpan w:val="10"/>
            <w:shd w:fill="E2E8F0"/>
            <w:tcMar>
              <w:top w:w="100" w:type="dxa"/>
              <w:bottom w:w="100" w:type="dxa"/>
              <w:left w:w="150" w:type="dxa"/>
              <w:right w:w="150" w:type="dxa"/>
            </w:tcMar>
          </w:tcPr>
          <w:p>
            <w:r>
              <w:rPr>
                <w:b/>
                <w:color w:val="0F3460"/>
                <w:sz w:val="18"/>
              </w:rPr>
              <w:t>DOMAIN: RADIO NETWORK PLANNING &amp; DESIGN</w:t>
            </w:r>
          </w:p>
        </w:tc>
      </w:tr>
      <w:tr>
        <w:tc>
          <w:tcPr>
            <w:tcW w:type="dxa" w:w="994"/>
            <w:tcMar>
              <w:top w:w="80" w:type="dxa"/>
              <w:bottom w:w="80" w:type="dxa"/>
              <w:left w:w="80" w:type="dxa"/>
              <w:right w:w="80" w:type="dxa"/>
            </w:tcMar>
            <w:vAlign w:val="center"/>
          </w:tcPr>
          <w:p>
            <w:pPr>
              <w:jc w:val="center"/>
            </w:pPr>
            <w:r>
              <w:rPr>
                <w:b/>
                <w:sz w:val="16"/>
              </w:rPr>
              <w:t>RNPD-01</w:t>
            </w:r>
          </w:p>
        </w:tc>
        <w:tc>
          <w:tcPr>
            <w:tcW w:type="dxa" w:w="994"/>
            <w:tcMar>
              <w:top w:w="80" w:type="dxa"/>
              <w:bottom w:w="80" w:type="dxa"/>
              <w:left w:w="80" w:type="dxa"/>
              <w:right w:w="80" w:type="dxa"/>
            </w:tcMar>
            <w:vAlign w:val="center"/>
          </w:tcPr>
          <w:p>
            <w:r>
              <w:rPr>
                <w:sz w:val="16"/>
              </w:rPr>
              <w:t>Macro RF Nominal Planning &amp; 3D Propagation Modeling</w:t>
            </w:r>
          </w:p>
        </w:tc>
        <w:tc>
          <w:tcPr>
            <w:tcW w:type="dxa" w:w="994"/>
            <w:tcMar>
              <w:top w:w="80" w:type="dxa"/>
              <w:bottom w:w="80" w:type="dxa"/>
              <w:left w:w="80" w:type="dxa"/>
              <w:right w:w="80" w:type="dxa"/>
            </w:tcMar>
            <w:vAlign w:val="center"/>
          </w:tcPr>
          <w:p>
            <w:r>
              <w:rPr>
                <w:sz w:val="16"/>
              </w:rPr>
              <w:t>Macro-level 5G RF network planning using advanced 3D ray-tracing propagation modeling engines, calibrated against high-resolution 5-meter clutter models and Digital Terrain Models (DTM). Sizing and generation of nominal candidate search rings across high-density suburban and rural barangay centroids; multi-carrier capacity dimensioning for Band n50 (60 MHz NCR / up to 80 MHz Provincial, Software-Configurable 40/50/60/80 MHz TDD); coverage prediction mapping (RSRP, SINR, Best Server, Downlink/Uplink Throughput); and inter-site distance (ISD) optimization.</w:t>
              <w:br/>
              <w:t>• Inclusions: 3D ray-tracing simulation, clutter model calibration, nominal site planning, search ring generation.</w:t>
              <w:br/>
              <w:t>• Exclusions: Procurement of specialized external digital terrain data licenses (provided by Operator).</w:t>
            </w:r>
          </w:p>
        </w:tc>
        <w:tc>
          <w:tcPr>
            <w:tcW w:type="dxa" w:w="994"/>
            <w:tcMar>
              <w:top w:w="80" w:type="dxa"/>
              <w:bottom w:w="80" w:type="dxa"/>
              <w:left w:w="80" w:type="dxa"/>
              <w:right w:w="80" w:type="dxa"/>
            </w:tcMar>
            <w:vAlign w:val="center"/>
          </w:tcPr>
          <w:p>
            <w:pPr>
              <w:jc w:val="center"/>
            </w:pPr>
            <w:r>
              <w:rPr>
                <w:b/>
                <w:sz w:val="16"/>
              </w:rPr>
              <w:t>Per Site</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formal Operator approval of the Nominal RF Network Design Package.</w:t>
            </w:r>
          </w:p>
        </w:tc>
        <w:tc>
          <w:tcPr>
            <w:tcW w:type="dxa" w:w="994"/>
            <w:tcMar>
              <w:top w:w="80" w:type="dxa"/>
              <w:bottom w:w="80" w:type="dxa"/>
              <w:left w:w="80" w:type="dxa"/>
              <w:right w:w="80" w:type="dxa"/>
            </w:tcMar>
            <w:vAlign w:val="center"/>
          </w:tcPr>
          <w:p>
            <w:r>
              <w:rPr>
                <w:sz w:val="16"/>
              </w:rPr>
              <w:t>Nominal RF Network Design Package &amp; Ray-Tracing Simulation Dossier</w:t>
            </w:r>
          </w:p>
        </w:tc>
      </w:tr>
      <w:tr>
        <w:tc>
          <w:tcPr>
            <w:tcW w:type="dxa" w:w="994"/>
            <w:tcMar>
              <w:top w:w="80" w:type="dxa"/>
              <w:bottom w:w="80" w:type="dxa"/>
              <w:left w:w="80" w:type="dxa"/>
              <w:right w:w="80" w:type="dxa"/>
            </w:tcMar>
            <w:vAlign w:val="center"/>
          </w:tcPr>
          <w:p>
            <w:pPr>
              <w:jc w:val="center"/>
            </w:pPr>
            <w:r>
              <w:rPr>
                <w:b/>
                <w:sz w:val="16"/>
              </w:rPr>
              <w:t>RNPD-02</w:t>
            </w:r>
          </w:p>
        </w:tc>
        <w:tc>
          <w:tcPr>
            <w:tcW w:type="dxa" w:w="994"/>
            <w:tcMar>
              <w:top w:w="80" w:type="dxa"/>
              <w:bottom w:w="80" w:type="dxa"/>
              <w:left w:w="80" w:type="dxa"/>
              <w:right w:w="80" w:type="dxa"/>
            </w:tcMar>
            <w:vAlign w:val="center"/>
          </w:tcPr>
          <w:p>
            <w:r>
              <w:rPr>
                <w:sz w:val="16"/>
              </w:rPr>
              <w:t>Cell Design Data (CDD) Engineering &amp; Parameter Allocation</w:t>
            </w:r>
          </w:p>
        </w:tc>
        <w:tc>
          <w:tcPr>
            <w:tcW w:type="dxa" w:w="994"/>
            <w:tcMar>
              <w:top w:w="80" w:type="dxa"/>
              <w:bottom w:w="80" w:type="dxa"/>
              <w:left w:w="80" w:type="dxa"/>
              <w:right w:w="80" w:type="dxa"/>
            </w:tcMar>
            <w:vAlign w:val="center"/>
          </w:tcPr>
          <w:p>
            <w:r>
              <w:rPr>
                <w:sz w:val="16"/>
              </w:rPr>
              <w:t>Engineering, generation, and validation of detailed site-specific Cell Design Data (CDD) sheets: cell naming taxonomy, gNodeB IDs, Physical Cell ID (PCI) planning adhering to modulo-3 and modulo-30 collision rules, Root Sequence Index (RSI), Tracking Area Codes (TAC), Neighbor Cell Lists (NCL / ANR), PRACH configuration, absolute radio-frequency channel numbers (ARFCN), per-carrier transmit power, and antenna configuration parameters (azimuth, mechanical tilt, eRET ranges).</w:t>
              <w:br/>
              <w:t>• Inclusions: CDD parameter engineering, PCI planning, neighbor list generation, configuration script generation.</w:t>
              <w:br/>
              <w:t>• Exclusions: Core network routing configuration (handled under Lot 3).</w:t>
            </w:r>
          </w:p>
        </w:tc>
        <w:tc>
          <w:tcPr>
            <w:tcW w:type="dxa" w:w="994"/>
            <w:tcMar>
              <w:top w:w="80" w:type="dxa"/>
              <w:bottom w:w="80" w:type="dxa"/>
              <w:left w:w="80" w:type="dxa"/>
              <w:right w:w="80" w:type="dxa"/>
            </w:tcMar>
            <w:vAlign w:val="center"/>
          </w:tcPr>
          <w:p>
            <w:pPr>
              <w:jc w:val="center"/>
            </w:pPr>
            <w:r>
              <w:rPr>
                <w:b/>
                <w:sz w:val="16"/>
              </w:rPr>
              <w:t>Per Site</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validation and successful upload of CDD parameters into the network EMS/OSS.</w:t>
            </w:r>
          </w:p>
        </w:tc>
        <w:tc>
          <w:tcPr>
            <w:tcW w:type="dxa" w:w="994"/>
            <w:tcMar>
              <w:top w:w="80" w:type="dxa"/>
              <w:bottom w:w="80" w:type="dxa"/>
              <w:left w:w="80" w:type="dxa"/>
              <w:right w:w="80" w:type="dxa"/>
            </w:tcMar>
            <w:vAlign w:val="center"/>
          </w:tcPr>
          <w:p>
            <w:r>
              <w:rPr>
                <w:sz w:val="16"/>
              </w:rPr>
              <w:t>Approved Cell Design Data (CDD) Sheet &amp; Parameter Script</w:t>
            </w:r>
          </w:p>
        </w:tc>
      </w:tr>
      <w:tr>
        <w:tc>
          <w:tcPr>
            <w:tcW w:type="dxa" w:w="9940"/>
            <w:gridSpan w:val="10"/>
            <w:shd w:fill="E2E8F0"/>
            <w:tcMar>
              <w:top w:w="100" w:type="dxa"/>
              <w:bottom w:w="100" w:type="dxa"/>
              <w:left w:w="150" w:type="dxa"/>
              <w:right w:w="150" w:type="dxa"/>
            </w:tcMar>
          </w:tcPr>
          <w:p>
            <w:r>
              <w:rPr>
                <w:b/>
                <w:color w:val="0F3460"/>
                <w:sz w:val="18"/>
              </w:rPr>
              <w:t>DOMAIN: TELECOM LOGISTICS &amp; MATERIAL HANDLING</w:t>
            </w:r>
          </w:p>
        </w:tc>
      </w:tr>
      <w:tr>
        <w:tc>
          <w:tcPr>
            <w:tcW w:type="dxa" w:w="994"/>
            <w:tcMar>
              <w:top w:w="80" w:type="dxa"/>
              <w:bottom w:w="80" w:type="dxa"/>
              <w:left w:w="80" w:type="dxa"/>
              <w:right w:w="80" w:type="dxa"/>
            </w:tcMar>
            <w:vAlign w:val="center"/>
          </w:tcPr>
          <w:p>
            <w:pPr>
              <w:jc w:val="center"/>
            </w:pPr>
            <w:r>
              <w:rPr>
                <w:b/>
                <w:sz w:val="16"/>
              </w:rPr>
              <w:t>LOG-01</w:t>
            </w:r>
          </w:p>
        </w:tc>
        <w:tc>
          <w:tcPr>
            <w:tcW w:type="dxa" w:w="994"/>
            <w:tcMar>
              <w:top w:w="80" w:type="dxa"/>
              <w:bottom w:w="80" w:type="dxa"/>
              <w:left w:w="80" w:type="dxa"/>
              <w:right w:w="80" w:type="dxa"/>
            </w:tcMar>
            <w:vAlign w:val="center"/>
          </w:tcPr>
          <w:p>
            <w:r>
              <w:rPr>
                <w:sz w:val="16"/>
              </w:rPr>
              <w:t>Central &amp; Regional Warehousing, Buffer Staging &amp; Serialized Asset Tagging</w:t>
            </w:r>
          </w:p>
        </w:tc>
        <w:tc>
          <w:tcPr>
            <w:tcW w:type="dxa" w:w="994"/>
            <w:tcMar>
              <w:top w:w="80" w:type="dxa"/>
              <w:bottom w:w="80" w:type="dxa"/>
              <w:left w:w="80" w:type="dxa"/>
              <w:right w:w="80" w:type="dxa"/>
            </w:tcMar>
            <w:vAlign w:val="center"/>
          </w:tcPr>
          <w:p>
            <w:r>
              <w:rPr>
                <w:sz w:val="16"/>
              </w:rPr>
              <w:t>Receipt of OEM shipments at Port of Manila / Batangas; bonded climate-controlled warehousing in central Mega Manila and regional hubs (North Luzon, South Luzon, Visayas, Mindanao); unboxing, physical inspection, and QA damage checking; barcode asset tagging at serial-number level; updating Operator ERP/WMS inventory records; and maintaining segregated buffer stock.</w:t>
              <w:br/>
              <w:t>• Inclusions: Warehouse facility, security, ERP tracking, barcode tagging, climate control, buffer stock management.</w:t>
              <w:br/>
              <w:t>• Exclusions: Port customs duties and VAT taxes (direct Operator responsibility).</w:t>
            </w:r>
          </w:p>
        </w:tc>
        <w:tc>
          <w:tcPr>
            <w:tcW w:type="dxa" w:w="994"/>
            <w:tcMar>
              <w:top w:w="80" w:type="dxa"/>
              <w:bottom w:w="80" w:type="dxa"/>
              <w:left w:w="80" w:type="dxa"/>
              <w:right w:w="80" w:type="dxa"/>
            </w:tcMar>
            <w:vAlign w:val="center"/>
          </w:tcPr>
          <w:p>
            <w:pPr>
              <w:jc w:val="center"/>
            </w:pPr>
            <w:r>
              <w:rPr>
                <w:b/>
                <w:sz w:val="16"/>
              </w:rPr>
              <w:t>Per Site</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material receipt, inspection, and barcode registration into inventory ERP.</w:t>
            </w:r>
          </w:p>
        </w:tc>
        <w:tc>
          <w:tcPr>
            <w:tcW w:type="dxa" w:w="994"/>
            <w:tcMar>
              <w:top w:w="80" w:type="dxa"/>
              <w:bottom w:w="80" w:type="dxa"/>
              <w:left w:w="80" w:type="dxa"/>
              <w:right w:w="80" w:type="dxa"/>
            </w:tcMar>
            <w:vAlign w:val="center"/>
          </w:tcPr>
          <w:p>
            <w:r>
              <w:rPr>
                <w:sz w:val="16"/>
              </w:rPr>
              <w:t>Serialized Inventory Receiving Report &amp; Barcode Registry</w:t>
            </w:r>
          </w:p>
        </w:tc>
      </w:tr>
      <w:tr>
        <w:tc>
          <w:tcPr>
            <w:tcW w:type="dxa" w:w="994"/>
            <w:tcMar>
              <w:top w:w="80" w:type="dxa"/>
              <w:bottom w:w="80" w:type="dxa"/>
              <w:left w:w="80" w:type="dxa"/>
              <w:right w:w="80" w:type="dxa"/>
            </w:tcMar>
            <w:vAlign w:val="center"/>
          </w:tcPr>
          <w:p>
            <w:pPr>
              <w:jc w:val="center"/>
            </w:pPr>
            <w:r>
              <w:rPr>
                <w:b/>
                <w:sz w:val="16"/>
              </w:rPr>
              <w:t>LOG-02</w:t>
            </w:r>
          </w:p>
        </w:tc>
        <w:tc>
          <w:tcPr>
            <w:tcW w:type="dxa" w:w="994"/>
            <w:tcMar>
              <w:top w:w="80" w:type="dxa"/>
              <w:bottom w:w="80" w:type="dxa"/>
              <w:left w:w="80" w:type="dxa"/>
              <w:right w:w="80" w:type="dxa"/>
            </w:tcMar>
            <w:vAlign w:val="center"/>
          </w:tcPr>
          <w:p>
            <w:r>
              <w:rPr>
                <w:sz w:val="16"/>
              </w:rPr>
              <w:t>Site BOM Kitting, Staging &amp; Pre-Assembly Services</w:t>
            </w:r>
          </w:p>
        </w:tc>
        <w:tc>
          <w:tcPr>
            <w:tcW w:type="dxa" w:w="994"/>
            <w:tcMar>
              <w:top w:w="80" w:type="dxa"/>
              <w:bottom w:w="80" w:type="dxa"/>
              <w:left w:w="80" w:type="dxa"/>
              <w:right w:w="80" w:type="dxa"/>
            </w:tcMar>
            <w:vAlign w:val="center"/>
          </w:tcPr>
          <w:p>
            <w:r>
              <w:rPr>
                <w:sz w:val="16"/>
              </w:rPr>
              <w:t>Assembly and kitting of site-specific deployment packages: picking 1x BBU, 3x 8T8R RRUs, 3x macro antennas/AAUs, optical patchcords, DC power cables, Type 2 SPDs, grounding kits, and hardware accessories; pre-cutting cable lengths based on approved TSSR; labeling; staging in protective crates; and performing bench test pre-checks and firmware pre-flashing.</w:t>
              <w:br/>
              <w:t>• Inclusions: Picking, staging, pre-cutting cables, labeling, firmware pre-flashing, packaging into site kits.</w:t>
              <w:br/>
              <w:t>• Exclusions: Supply of missing OEM radio equipment (OEM responsibility).</w:t>
            </w:r>
          </w:p>
        </w:tc>
        <w:tc>
          <w:tcPr>
            <w:tcW w:type="dxa" w:w="994"/>
            <w:tcMar>
              <w:top w:w="80" w:type="dxa"/>
              <w:bottom w:w="80" w:type="dxa"/>
              <w:left w:w="80" w:type="dxa"/>
              <w:right w:w="80" w:type="dxa"/>
            </w:tcMar>
            <w:vAlign w:val="center"/>
          </w:tcPr>
          <w:p>
            <w:pPr>
              <w:jc w:val="center"/>
            </w:pPr>
            <w:r>
              <w:rPr>
                <w:b/>
                <w:sz w:val="16"/>
              </w:rPr>
              <w:t>Per Site</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staging and issuance of Site Dispatch Slip.</w:t>
            </w:r>
          </w:p>
        </w:tc>
        <w:tc>
          <w:tcPr>
            <w:tcW w:type="dxa" w:w="994"/>
            <w:tcMar>
              <w:top w:w="80" w:type="dxa"/>
              <w:bottom w:w="80" w:type="dxa"/>
              <w:left w:w="80" w:type="dxa"/>
              <w:right w:w="80" w:type="dxa"/>
            </w:tcMar>
            <w:vAlign w:val="center"/>
          </w:tcPr>
          <w:p>
            <w:r>
              <w:rPr>
                <w:sz w:val="16"/>
              </w:rPr>
              <w:t>Site BOM Kitting Slip &amp; Staging Inspection Checklist</w:t>
            </w:r>
          </w:p>
        </w:tc>
      </w:tr>
      <w:tr>
        <w:tc>
          <w:tcPr>
            <w:tcW w:type="dxa" w:w="994"/>
            <w:tcMar>
              <w:top w:w="80" w:type="dxa"/>
              <w:bottom w:w="80" w:type="dxa"/>
              <w:left w:w="80" w:type="dxa"/>
              <w:right w:w="80" w:type="dxa"/>
            </w:tcMar>
            <w:vAlign w:val="center"/>
          </w:tcPr>
          <w:p>
            <w:pPr>
              <w:jc w:val="center"/>
            </w:pPr>
            <w:r>
              <w:rPr>
                <w:b/>
                <w:sz w:val="16"/>
              </w:rPr>
              <w:t>LOG-03</w:t>
            </w:r>
          </w:p>
        </w:tc>
        <w:tc>
          <w:tcPr>
            <w:tcW w:type="dxa" w:w="994"/>
            <w:tcMar>
              <w:top w:w="80" w:type="dxa"/>
              <w:bottom w:w="80" w:type="dxa"/>
              <w:left w:w="80" w:type="dxa"/>
              <w:right w:w="80" w:type="dxa"/>
            </w:tcMar>
            <w:vAlign w:val="center"/>
          </w:tcPr>
          <w:p>
            <w:r>
              <w:rPr>
                <w:sz w:val="16"/>
              </w:rPr>
              <w:t>Regional Transport &amp; Final-Mile Rough-Road Site Hauling</w:t>
            </w:r>
          </w:p>
        </w:tc>
        <w:tc>
          <w:tcPr>
            <w:tcW w:type="dxa" w:w="994"/>
            <w:tcMar>
              <w:top w:w="80" w:type="dxa"/>
              <w:bottom w:w="80" w:type="dxa"/>
              <w:left w:w="80" w:type="dxa"/>
              <w:right w:w="80" w:type="dxa"/>
            </w:tcMar>
            <w:vAlign w:val="center"/>
          </w:tcPr>
          <w:p>
            <w:r>
              <w:rPr>
                <w:sz w:val="16"/>
              </w:rPr>
              <w:t>Transportation from central warehouse to regional hubs via heavy freight, followed by dedicated final-mile transport to remote barangay site locations utilizing heavy-duty 4x4 trucks, motorized bancas/barges (for island sites), or manual porterage across unpaved rough-road terrain; comprehensive in-transit cargo insurance; and on-site offloading.</w:t>
              <w:br/>
              <w:t>• Inclusions: Long-haul freight, final-mile 4x4 hauling, manual porterage, transit insurance, on-site offloading.</w:t>
              <w:br/>
              <w:t>• Exclusions: Helicopter airlifts (applicable only under extraordinary force majeure call-out).</w:t>
            </w:r>
          </w:p>
        </w:tc>
        <w:tc>
          <w:tcPr>
            <w:tcW w:type="dxa" w:w="994"/>
            <w:tcMar>
              <w:top w:w="80" w:type="dxa"/>
              <w:bottom w:w="80" w:type="dxa"/>
              <w:left w:w="80" w:type="dxa"/>
              <w:right w:w="80" w:type="dxa"/>
            </w:tcMar>
            <w:vAlign w:val="center"/>
          </w:tcPr>
          <w:p>
            <w:pPr>
              <w:jc w:val="center"/>
            </w:pPr>
            <w:r>
              <w:rPr>
                <w:b/>
                <w:sz w:val="16"/>
              </w:rPr>
              <w:t>Per Site</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verified on-site delivery and execution of Material Receiving Report (MRR).</w:t>
            </w:r>
          </w:p>
        </w:tc>
        <w:tc>
          <w:tcPr>
            <w:tcW w:type="dxa" w:w="994"/>
            <w:tcMar>
              <w:top w:w="80" w:type="dxa"/>
              <w:bottom w:w="80" w:type="dxa"/>
              <w:left w:w="80" w:type="dxa"/>
              <w:right w:w="80" w:type="dxa"/>
            </w:tcMar>
            <w:vAlign w:val="center"/>
          </w:tcPr>
          <w:p>
            <w:r>
              <w:rPr>
                <w:sz w:val="16"/>
              </w:rPr>
              <w:t>Signed Material Receiving Report (MRR) by on-site supervisor</w:t>
            </w:r>
          </w:p>
        </w:tc>
      </w:tr>
      <w:tr>
        <w:tc>
          <w:tcPr>
            <w:tcW w:type="dxa" w:w="9940"/>
            <w:gridSpan w:val="10"/>
            <w:shd w:fill="E2E8F0"/>
            <w:tcMar>
              <w:top w:w="100" w:type="dxa"/>
              <w:bottom w:w="100" w:type="dxa"/>
              <w:left w:w="150" w:type="dxa"/>
              <w:right w:w="150" w:type="dxa"/>
            </w:tcMar>
          </w:tcPr>
          <w:p>
            <w:r>
              <w:rPr>
                <w:b/>
                <w:color w:val="0F3460"/>
                <w:sz w:val="18"/>
              </w:rPr>
              <w:t>DOMAIN: TELECOM INSTALLATION, COMMISSIONING &amp; INTEGRATION</w:t>
            </w:r>
          </w:p>
        </w:tc>
      </w:tr>
      <w:tr>
        <w:tc>
          <w:tcPr>
            <w:tcW w:type="dxa" w:w="994"/>
            <w:tcMar>
              <w:top w:w="80" w:type="dxa"/>
              <w:bottom w:w="80" w:type="dxa"/>
              <w:left w:w="80" w:type="dxa"/>
              <w:right w:w="80" w:type="dxa"/>
            </w:tcMar>
            <w:vAlign w:val="center"/>
          </w:tcPr>
          <w:p>
            <w:pPr>
              <w:jc w:val="center"/>
            </w:pPr>
            <w:r>
              <w:rPr>
                <w:b/>
                <w:sz w:val="16"/>
              </w:rPr>
              <w:t>TI-01</w:t>
            </w:r>
          </w:p>
        </w:tc>
        <w:tc>
          <w:tcPr>
            <w:tcW w:type="dxa" w:w="994"/>
            <w:tcMar>
              <w:top w:w="80" w:type="dxa"/>
              <w:bottom w:w="80" w:type="dxa"/>
              <w:left w:w="80" w:type="dxa"/>
              <w:right w:w="80" w:type="dxa"/>
            </w:tcMar>
            <w:vAlign w:val="center"/>
          </w:tcPr>
          <w:p>
            <w:r>
              <w:rPr>
                <w:sz w:val="16"/>
              </w:rPr>
              <w:t>Tower Rigging &amp; Mechanical Antenna / RRU Installation</w:t>
            </w:r>
          </w:p>
        </w:tc>
        <w:tc>
          <w:tcPr>
            <w:tcW w:type="dxa" w:w="994"/>
            <w:tcMar>
              <w:top w:w="80" w:type="dxa"/>
              <w:bottom w:w="80" w:type="dxa"/>
              <w:left w:w="80" w:type="dxa"/>
              <w:right w:w="80" w:type="dxa"/>
            </w:tcMar>
            <w:vAlign w:val="center"/>
          </w:tcPr>
          <w:p>
            <w:r>
              <w:rPr>
                <w:sz w:val="16"/>
              </w:rPr>
              <w:t>Mechanical mounting by certified riggers: hoisting and installing 3x macro high-gain antennas and 3x 8T8R RRUs on tower antenna mounting brackets (AMB) at specified AGL centerlines (30m to 45m); setting precise mechanical downtilt and sector azimuths (0°, 120°, 240°) using calibrated digital inclinometers and compasses; and installing AISG 2.0 eRET control cables.</w:t>
              <w:br/>
              <w:t>• Inclusions: Tower rigging crews, safety equipment, hoisting gear, AMB mounting, antenna and RRU installation.</w:t>
              <w:br/>
              <w:t>• Exclusions: Supply of steel antenna mounting brackets (AMB) (governed under Lot 1 hardware).</w:t>
            </w:r>
          </w:p>
        </w:tc>
        <w:tc>
          <w:tcPr>
            <w:tcW w:type="dxa" w:w="994"/>
            <w:tcMar>
              <w:top w:w="80" w:type="dxa"/>
              <w:bottom w:w="80" w:type="dxa"/>
              <w:left w:w="80" w:type="dxa"/>
              <w:right w:w="80" w:type="dxa"/>
            </w:tcMar>
            <w:vAlign w:val="center"/>
          </w:tcPr>
          <w:p>
            <w:pPr>
              <w:jc w:val="center"/>
            </w:pPr>
            <w:r>
              <w:rPr>
                <w:b/>
                <w:sz w:val="16"/>
              </w:rPr>
              <w:t>Per Site</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50% upon mechanical mounting completion; 50% upon joint rigging inspection.</w:t>
            </w:r>
          </w:p>
        </w:tc>
        <w:tc>
          <w:tcPr>
            <w:tcW w:type="dxa" w:w="994"/>
            <w:tcMar>
              <w:top w:w="80" w:type="dxa"/>
              <w:bottom w:w="80" w:type="dxa"/>
              <w:left w:w="80" w:type="dxa"/>
              <w:right w:w="80" w:type="dxa"/>
            </w:tcMar>
            <w:vAlign w:val="center"/>
          </w:tcPr>
          <w:p>
            <w:r>
              <w:rPr>
                <w:sz w:val="16"/>
              </w:rPr>
              <w:t>Mechanical Rigging &amp; Antenna Alignment Inspection Sheet</w:t>
            </w:r>
          </w:p>
        </w:tc>
      </w:tr>
      <w:tr>
        <w:tc>
          <w:tcPr>
            <w:tcW w:type="dxa" w:w="994"/>
            <w:tcMar>
              <w:top w:w="80" w:type="dxa"/>
              <w:bottom w:w="80" w:type="dxa"/>
              <w:left w:w="80" w:type="dxa"/>
              <w:right w:w="80" w:type="dxa"/>
            </w:tcMar>
            <w:vAlign w:val="center"/>
          </w:tcPr>
          <w:p>
            <w:pPr>
              <w:jc w:val="center"/>
            </w:pPr>
            <w:r>
              <w:rPr>
                <w:b/>
                <w:sz w:val="16"/>
              </w:rPr>
              <w:t>TI-02</w:t>
            </w:r>
          </w:p>
        </w:tc>
        <w:tc>
          <w:tcPr>
            <w:tcW w:type="dxa" w:w="994"/>
            <w:tcMar>
              <w:top w:w="80" w:type="dxa"/>
              <w:bottom w:w="80" w:type="dxa"/>
              <w:left w:w="80" w:type="dxa"/>
              <w:right w:w="80" w:type="dxa"/>
            </w:tcMar>
            <w:vAlign w:val="center"/>
          </w:tcPr>
          <w:p>
            <w:r>
              <w:rPr>
                <w:sz w:val="16"/>
              </w:rPr>
              <w:t>RF, Optical Fiber &amp; DC Power Cabling Installation</w:t>
            </w:r>
          </w:p>
        </w:tc>
        <w:tc>
          <w:tcPr>
            <w:tcW w:type="dxa" w:w="994"/>
            <w:tcMar>
              <w:top w:w="80" w:type="dxa"/>
              <w:bottom w:w="80" w:type="dxa"/>
              <w:left w:w="80" w:type="dxa"/>
              <w:right w:w="80" w:type="dxa"/>
            </w:tcMar>
            <w:vAlign w:val="center"/>
          </w:tcPr>
          <w:p>
            <w:r>
              <w:rPr>
                <w:sz w:val="16"/>
              </w:rPr>
              <w:t>Routing, fastening, and dressing armored multi-core optical fiber jumpers and DC power cables along tower cable ladders and horizontal gantries; installing cold-shrink weatherproof boots on all 7/16 DIN or 4.3-10 RF connectors; installing Type 2 DC Surge Protection Devices (SPD) at tower top and base; and bonding 3-point grounding kits to the external ground busbar.</w:t>
              <w:br/>
              <w:t>• Inclusions: Cable routing, cleating, hydraulic crimping, weatherproofing, SPD installation, grounding bond.</w:t>
              <w:br/>
              <w:t>• Exclusions: Internal civil cabling of third-party shelters.</w:t>
            </w:r>
          </w:p>
        </w:tc>
        <w:tc>
          <w:tcPr>
            <w:tcW w:type="dxa" w:w="994"/>
            <w:tcMar>
              <w:top w:w="80" w:type="dxa"/>
              <w:bottom w:w="80" w:type="dxa"/>
              <w:left w:w="80" w:type="dxa"/>
              <w:right w:w="80" w:type="dxa"/>
            </w:tcMar>
            <w:vAlign w:val="center"/>
          </w:tcPr>
          <w:p>
            <w:pPr>
              <w:jc w:val="center"/>
            </w:pPr>
            <w:r>
              <w:rPr>
                <w:b/>
                <w:sz w:val="16"/>
              </w:rPr>
              <w:t>Per Site</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50% upon cabling installation; 50% upon weatherproofing and grounding sign-off.</w:t>
            </w:r>
          </w:p>
        </w:tc>
        <w:tc>
          <w:tcPr>
            <w:tcW w:type="dxa" w:w="994"/>
            <w:tcMar>
              <w:top w:w="80" w:type="dxa"/>
              <w:bottom w:w="80" w:type="dxa"/>
              <w:left w:w="80" w:type="dxa"/>
              <w:right w:w="80" w:type="dxa"/>
            </w:tcMar>
            <w:vAlign w:val="center"/>
          </w:tcPr>
          <w:p>
            <w:r>
              <w:rPr>
                <w:sz w:val="16"/>
              </w:rPr>
              <w:t>Cabling Installation &amp; Weatherproofing Quality Checklist</w:t>
            </w:r>
          </w:p>
        </w:tc>
      </w:tr>
      <w:tr>
        <w:tc>
          <w:tcPr>
            <w:tcW w:type="dxa" w:w="994"/>
            <w:tcMar>
              <w:top w:w="80" w:type="dxa"/>
              <w:bottom w:w="80" w:type="dxa"/>
              <w:left w:w="80" w:type="dxa"/>
              <w:right w:w="80" w:type="dxa"/>
            </w:tcMar>
            <w:vAlign w:val="center"/>
          </w:tcPr>
          <w:p>
            <w:pPr>
              <w:jc w:val="center"/>
            </w:pPr>
            <w:r>
              <w:rPr>
                <w:b/>
                <w:sz w:val="16"/>
              </w:rPr>
              <w:t>TI-03</w:t>
            </w:r>
          </w:p>
        </w:tc>
        <w:tc>
          <w:tcPr>
            <w:tcW w:type="dxa" w:w="994"/>
            <w:tcMar>
              <w:top w:w="80" w:type="dxa"/>
              <w:bottom w:w="80" w:type="dxa"/>
              <w:left w:w="80" w:type="dxa"/>
              <w:right w:w="80" w:type="dxa"/>
            </w:tcMar>
            <w:vAlign w:val="center"/>
          </w:tcPr>
          <w:p>
            <w:r>
              <w:rPr>
                <w:sz w:val="16"/>
              </w:rPr>
              <w:t>Baseband Unit (BBU) Installation &amp; Cabinet Wiring</w:t>
            </w:r>
          </w:p>
        </w:tc>
        <w:tc>
          <w:tcPr>
            <w:tcW w:type="dxa" w:w="994"/>
            <w:tcMar>
              <w:top w:w="80" w:type="dxa"/>
              <w:bottom w:w="80" w:type="dxa"/>
              <w:left w:w="80" w:type="dxa"/>
              <w:right w:w="80" w:type="dxa"/>
            </w:tcMar>
            <w:vAlign w:val="center"/>
          </w:tcPr>
          <w:p>
            <w:r>
              <w:rPr>
                <w:sz w:val="16"/>
              </w:rPr>
              <w:t>19" rack installation of 5G Baseband Unit (BBU) in outdoor equipment cabinet or shelter; dual -48V DC power wiring to dedicated distribution breakers; routing backhaul transmission optical patchcords to fiber demarcation router; and installing GNSS/GPS antenna and surge arrester with unobstructed sky view for PTP/SyncE clock synchronization.</w:t>
              <w:br/>
              <w:t>• Inclusions: Rack mounting, DC wiring, optical patchcord routing, GPS antenna installation, labeling.</w:t>
              <w:br/>
              <w:t>• Exclusions: Supply of DC rectifier plant (governed under Lot 2).</w:t>
            </w:r>
          </w:p>
        </w:tc>
        <w:tc>
          <w:tcPr>
            <w:tcW w:type="dxa" w:w="994"/>
            <w:tcMar>
              <w:top w:w="80" w:type="dxa"/>
              <w:bottom w:w="80" w:type="dxa"/>
              <w:left w:w="80" w:type="dxa"/>
              <w:right w:w="80" w:type="dxa"/>
            </w:tcMar>
            <w:vAlign w:val="center"/>
          </w:tcPr>
          <w:p>
            <w:pPr>
              <w:jc w:val="center"/>
            </w:pPr>
            <w:r>
              <w:rPr>
                <w:b/>
                <w:sz w:val="16"/>
              </w:rPr>
              <w:t>Per Site</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BBU rack installation and DC power-up.</w:t>
            </w:r>
          </w:p>
        </w:tc>
        <w:tc>
          <w:tcPr>
            <w:tcW w:type="dxa" w:w="994"/>
            <w:tcMar>
              <w:top w:w="80" w:type="dxa"/>
              <w:bottom w:w="80" w:type="dxa"/>
              <w:left w:w="80" w:type="dxa"/>
              <w:right w:w="80" w:type="dxa"/>
            </w:tcMar>
            <w:vAlign w:val="center"/>
          </w:tcPr>
          <w:p>
            <w:r>
              <w:rPr>
                <w:sz w:val="16"/>
              </w:rPr>
              <w:t>BBU Installation &amp; Cabinet Wiring Verification Sheet</w:t>
            </w:r>
          </w:p>
        </w:tc>
      </w:tr>
      <w:tr>
        <w:tc>
          <w:tcPr>
            <w:tcW w:type="dxa" w:w="994"/>
            <w:tcMar>
              <w:top w:w="80" w:type="dxa"/>
              <w:bottom w:w="80" w:type="dxa"/>
              <w:left w:w="80" w:type="dxa"/>
              <w:right w:w="80" w:type="dxa"/>
            </w:tcMar>
            <w:vAlign w:val="center"/>
          </w:tcPr>
          <w:p>
            <w:pPr>
              <w:jc w:val="center"/>
            </w:pPr>
            <w:r>
              <w:rPr>
                <w:b/>
                <w:sz w:val="16"/>
              </w:rPr>
              <w:t>TI-04</w:t>
            </w:r>
          </w:p>
        </w:tc>
        <w:tc>
          <w:tcPr>
            <w:tcW w:type="dxa" w:w="994"/>
            <w:tcMar>
              <w:top w:w="80" w:type="dxa"/>
              <w:bottom w:w="80" w:type="dxa"/>
              <w:left w:w="80" w:type="dxa"/>
              <w:right w:w="80" w:type="dxa"/>
            </w:tcMar>
            <w:vAlign w:val="center"/>
          </w:tcPr>
          <w:p>
            <w:r>
              <w:rPr>
                <w:sz w:val="16"/>
              </w:rPr>
              <w:t>Telecom Commissioning, Sweep Testing &amp; Power-Up</w:t>
            </w:r>
          </w:p>
        </w:tc>
        <w:tc>
          <w:tcPr>
            <w:tcW w:type="dxa" w:w="994"/>
            <w:tcMar>
              <w:top w:w="80" w:type="dxa"/>
              <w:bottom w:w="80" w:type="dxa"/>
              <w:left w:w="80" w:type="dxa"/>
              <w:right w:w="80" w:type="dxa"/>
            </w:tcMar>
            <w:vAlign w:val="center"/>
          </w:tcPr>
          <w:p>
            <w:r>
              <w:rPr>
                <w:sz w:val="16"/>
              </w:rPr>
              <w:t>DC power turn-up, voltage and polarity verification; firmware loading and diagnostic testing; optical transceiver Rx/Tx power level verification; and calibrated RF sweep testing measuring Return Loss (&gt;= 16.5 dB) and VSWR (&lt;= 1.35:1) across all antenna ports and jumpers using a calibrated SiteMaster analyzer.</w:t>
              <w:br/>
              <w:t>• Inclusions: Commissioning turn-up, firmware loading, optical power check, VSWR sweep testing, test trace logs.</w:t>
              <w:br/>
              <w:t>• Exclusions: Rectification of OEM internal hardware manufacturing defects (OEM warranty scope).</w:t>
            </w:r>
          </w:p>
        </w:tc>
        <w:tc>
          <w:tcPr>
            <w:tcW w:type="dxa" w:w="994"/>
            <w:tcMar>
              <w:top w:w="80" w:type="dxa"/>
              <w:bottom w:w="80" w:type="dxa"/>
              <w:left w:w="80" w:type="dxa"/>
              <w:right w:w="80" w:type="dxa"/>
            </w:tcMar>
            <w:vAlign w:val="center"/>
          </w:tcPr>
          <w:p>
            <w:pPr>
              <w:jc w:val="center"/>
            </w:pPr>
            <w:r>
              <w:rPr>
                <w:b/>
                <w:sz w:val="16"/>
              </w:rPr>
              <w:t>Per Site</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successful sweep testing and commissioning approval.</w:t>
            </w:r>
          </w:p>
        </w:tc>
        <w:tc>
          <w:tcPr>
            <w:tcW w:type="dxa" w:w="994"/>
            <w:tcMar>
              <w:top w:w="80" w:type="dxa"/>
              <w:bottom w:w="80" w:type="dxa"/>
              <w:left w:w="80" w:type="dxa"/>
              <w:right w:w="80" w:type="dxa"/>
            </w:tcMar>
            <w:vAlign w:val="center"/>
          </w:tcPr>
          <w:p>
            <w:r>
              <w:rPr>
                <w:sz w:val="16"/>
              </w:rPr>
              <w:t>Commissioning Test Log &amp; VSWR/Return Loss Sweep Traces</w:t>
            </w:r>
          </w:p>
        </w:tc>
      </w:tr>
      <w:tr>
        <w:tc>
          <w:tcPr>
            <w:tcW w:type="dxa" w:w="994"/>
            <w:tcMar>
              <w:top w:w="80" w:type="dxa"/>
              <w:bottom w:w="80" w:type="dxa"/>
              <w:left w:w="80" w:type="dxa"/>
              <w:right w:w="80" w:type="dxa"/>
            </w:tcMar>
            <w:vAlign w:val="center"/>
          </w:tcPr>
          <w:p>
            <w:pPr>
              <w:jc w:val="center"/>
            </w:pPr>
            <w:r>
              <w:rPr>
                <w:b/>
                <w:sz w:val="16"/>
              </w:rPr>
              <w:t>TI-05</w:t>
            </w:r>
          </w:p>
        </w:tc>
        <w:tc>
          <w:tcPr>
            <w:tcW w:type="dxa" w:w="994"/>
            <w:tcMar>
              <w:top w:w="80" w:type="dxa"/>
              <w:bottom w:w="80" w:type="dxa"/>
              <w:left w:w="80" w:type="dxa"/>
              <w:right w:w="80" w:type="dxa"/>
            </w:tcMar>
            <w:vAlign w:val="center"/>
          </w:tcPr>
          <w:p>
            <w:r>
              <w:rPr>
                <w:sz w:val="16"/>
              </w:rPr>
              <w:t>gNodeB Network Integration &amp; OSS Commercial On-Air</w:t>
            </w:r>
          </w:p>
        </w:tc>
        <w:tc>
          <w:tcPr>
            <w:tcW w:type="dxa" w:w="994"/>
            <w:tcMar>
              <w:top w:w="80" w:type="dxa"/>
              <w:bottom w:w="80" w:type="dxa"/>
              <w:left w:w="80" w:type="dxa"/>
              <w:right w:w="80" w:type="dxa"/>
            </w:tcMar>
            <w:vAlign w:val="center"/>
          </w:tcPr>
          <w:p>
            <w:r>
              <w:rPr>
                <w:sz w:val="16"/>
              </w:rPr>
              <w:t>Transmission IP integration (VLAN, BGP, IPsec); establishing S1-U / N2/N3 control and user plane interfaces to 5G Core (AMF/UPF); synchronization with TelTech EMS/OSS; activating 3 sectors on Band n50 (60 MHz NCR / up to 80 MHz Provincial, Software-Configurable 40/50/60/80 MHz TDD); clearing all active alarms; and achieving stable commercial on-air operational state.</w:t>
              <w:br/>
              <w:t>• Inclusions: IP configuration, Core integration, OSS synchronization, carrier activation, alarm clearance.</w:t>
              <w:br/>
              <w:t>• Exclusions: Core network UPF dimensioning (governed under Lot 3).</w:t>
            </w:r>
          </w:p>
        </w:tc>
        <w:tc>
          <w:tcPr>
            <w:tcW w:type="dxa" w:w="994"/>
            <w:tcMar>
              <w:top w:w="80" w:type="dxa"/>
              <w:bottom w:w="80" w:type="dxa"/>
              <w:left w:w="80" w:type="dxa"/>
              <w:right w:w="80" w:type="dxa"/>
            </w:tcMar>
            <w:vAlign w:val="center"/>
          </w:tcPr>
          <w:p>
            <w:pPr>
              <w:jc w:val="center"/>
            </w:pPr>
            <w:r>
              <w:rPr>
                <w:b/>
                <w:sz w:val="16"/>
              </w:rPr>
              <w:t>Per Site</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site on-air declaration and alarm-free verification.</w:t>
            </w:r>
          </w:p>
        </w:tc>
        <w:tc>
          <w:tcPr>
            <w:tcW w:type="dxa" w:w="994"/>
            <w:tcMar>
              <w:top w:w="80" w:type="dxa"/>
              <w:bottom w:w="80" w:type="dxa"/>
              <w:left w:w="80" w:type="dxa"/>
              <w:right w:w="80" w:type="dxa"/>
            </w:tcMar>
            <w:vAlign w:val="center"/>
          </w:tcPr>
          <w:p>
            <w:r>
              <w:rPr>
                <w:sz w:val="16"/>
              </w:rPr>
              <w:t>Commercial On-Air Certificate &amp; OSS Alarm-Free Screenshot</w:t>
            </w:r>
          </w:p>
        </w:tc>
      </w:tr>
      <w:tr>
        <w:tc>
          <w:tcPr>
            <w:tcW w:type="dxa" w:w="9940"/>
            <w:gridSpan w:val="10"/>
            <w:shd w:fill="E2E8F0"/>
            <w:tcMar>
              <w:top w:w="100" w:type="dxa"/>
              <w:bottom w:w="100" w:type="dxa"/>
              <w:left w:w="150" w:type="dxa"/>
              <w:right w:w="150" w:type="dxa"/>
            </w:tcMar>
          </w:tcPr>
          <w:p>
            <w:r>
              <w:rPr>
                <w:b/>
                <w:color w:val="0F3460"/>
                <w:sz w:val="18"/>
              </w:rPr>
              <w:t>DOMAIN: SINGLE SITE VERIFICATION &amp; ACCEPTANCE</w:t>
            </w:r>
          </w:p>
        </w:tc>
      </w:tr>
      <w:tr>
        <w:tc>
          <w:tcPr>
            <w:tcW w:type="dxa" w:w="994"/>
            <w:tcMar>
              <w:top w:w="80" w:type="dxa"/>
              <w:bottom w:w="80" w:type="dxa"/>
              <w:left w:w="80" w:type="dxa"/>
              <w:right w:w="80" w:type="dxa"/>
            </w:tcMar>
            <w:vAlign w:val="center"/>
          </w:tcPr>
          <w:p>
            <w:pPr>
              <w:jc w:val="center"/>
            </w:pPr>
            <w:r>
              <w:rPr>
                <w:b/>
                <w:sz w:val="16"/>
              </w:rPr>
              <w:t>ACC-01</w:t>
            </w:r>
          </w:p>
        </w:tc>
        <w:tc>
          <w:tcPr>
            <w:tcW w:type="dxa" w:w="994"/>
            <w:tcMar>
              <w:top w:w="80" w:type="dxa"/>
              <w:bottom w:w="80" w:type="dxa"/>
              <w:left w:w="80" w:type="dxa"/>
              <w:right w:w="80" w:type="dxa"/>
            </w:tcMar>
            <w:vAlign w:val="center"/>
          </w:tcPr>
          <w:p>
            <w:r>
              <w:rPr>
                <w:sz w:val="16"/>
              </w:rPr>
              <w:t>Mechanical, Civil &amp; Electrical Site Acceptance (ATP-A)</w:t>
            </w:r>
          </w:p>
        </w:tc>
        <w:tc>
          <w:tcPr>
            <w:tcW w:type="dxa" w:w="994"/>
            <w:tcMar>
              <w:top w:w="80" w:type="dxa"/>
              <w:bottom w:w="80" w:type="dxa"/>
              <w:left w:w="80" w:type="dxa"/>
              <w:right w:w="80" w:type="dxa"/>
            </w:tcMar>
            <w:vAlign w:val="center"/>
          </w:tcPr>
          <w:p>
            <w:r>
              <w:rPr>
                <w:sz w:val="16"/>
              </w:rPr>
              <w:t>Joint physical on-site inspection: verifying bolt torque marks on tower mounts, cable ladder fastening, cable tray grounding, weatherproofing seal integrity, electrical breaker labeling, 3-point earth ground resistance audit (confirming &lt;= 5.0 Ohms), compound housekeeping, and punchlist compilation and clearance.</w:t>
              <w:br/>
              <w:t>• Inclusions: Joint physical audit, torque inspection, grounding verification, punchlist clearance.</w:t>
              <w:br/>
              <w:t>• Exclusions: Radio performance verification (covered under ATP-B and SSV).</w:t>
            </w:r>
          </w:p>
        </w:tc>
        <w:tc>
          <w:tcPr>
            <w:tcW w:type="dxa" w:w="994"/>
            <w:tcMar>
              <w:top w:w="80" w:type="dxa"/>
              <w:bottom w:w="80" w:type="dxa"/>
              <w:left w:w="80" w:type="dxa"/>
              <w:right w:w="80" w:type="dxa"/>
            </w:tcMar>
            <w:vAlign w:val="center"/>
          </w:tcPr>
          <w:p>
            <w:pPr>
              <w:jc w:val="center"/>
            </w:pPr>
            <w:r>
              <w:rPr>
                <w:b/>
                <w:sz w:val="16"/>
              </w:rPr>
              <w:t>Per Site</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joint ATP-A punchlist clearance and sign-off.</w:t>
            </w:r>
          </w:p>
        </w:tc>
        <w:tc>
          <w:tcPr>
            <w:tcW w:type="dxa" w:w="994"/>
            <w:tcMar>
              <w:top w:w="80" w:type="dxa"/>
              <w:bottom w:w="80" w:type="dxa"/>
              <w:left w:w="80" w:type="dxa"/>
              <w:right w:w="80" w:type="dxa"/>
            </w:tcMar>
            <w:vAlign w:val="center"/>
          </w:tcPr>
          <w:p>
            <w:r>
              <w:rPr>
                <w:sz w:val="16"/>
              </w:rPr>
              <w:t>Signed ATP-A Certificate &amp; Punchlist Clearance Sheet</w:t>
            </w:r>
          </w:p>
        </w:tc>
      </w:tr>
      <w:tr>
        <w:tc>
          <w:tcPr>
            <w:tcW w:type="dxa" w:w="994"/>
            <w:tcMar>
              <w:top w:w="80" w:type="dxa"/>
              <w:bottom w:w="80" w:type="dxa"/>
              <w:left w:w="80" w:type="dxa"/>
              <w:right w:w="80" w:type="dxa"/>
            </w:tcMar>
            <w:vAlign w:val="center"/>
          </w:tcPr>
          <w:p>
            <w:pPr>
              <w:jc w:val="center"/>
            </w:pPr>
            <w:r>
              <w:rPr>
                <w:b/>
                <w:sz w:val="16"/>
              </w:rPr>
              <w:t>ACC-02</w:t>
            </w:r>
          </w:p>
        </w:tc>
        <w:tc>
          <w:tcPr>
            <w:tcW w:type="dxa" w:w="994"/>
            <w:tcMar>
              <w:top w:w="80" w:type="dxa"/>
              <w:bottom w:w="80" w:type="dxa"/>
              <w:left w:w="80" w:type="dxa"/>
              <w:right w:w="80" w:type="dxa"/>
            </w:tcMar>
            <w:vAlign w:val="center"/>
          </w:tcPr>
          <w:p>
            <w:r>
              <w:rPr>
                <w:sz w:val="16"/>
              </w:rPr>
              <w:t>Active Telecom &amp; Functional Acceptance (ATP-B)</w:t>
            </w:r>
          </w:p>
        </w:tc>
        <w:tc>
          <w:tcPr>
            <w:tcW w:type="dxa" w:w="994"/>
            <w:tcMar>
              <w:top w:w="80" w:type="dxa"/>
              <w:bottom w:w="80" w:type="dxa"/>
              <w:left w:w="80" w:type="dxa"/>
              <w:right w:w="80" w:type="dxa"/>
            </w:tcMar>
            <w:vAlign w:val="center"/>
          </w:tcPr>
          <w:p>
            <w:r>
              <w:rPr>
                <w:sz w:val="16"/>
              </w:rPr>
              <w:t>Remote and local active functional testing: verifying 8T8R MU-MIMO operation, electronic downtilt (eRET) remote control functionality via OSS, power fail / mains failure alarm simulation, optical fiber failover test, and carrier shutdown/restart diagnostic tests to ensure robust autonomic operation.</w:t>
              <w:br/>
              <w:t>• Inclusions: Remote EMS diagnostic testing, alarm simulation, eRET control validation, MIMO verification.</w:t>
              <w:br/>
              <w:t>• Exclusions: Physical climbing inspection (covered under ATP-A).</w:t>
            </w:r>
          </w:p>
        </w:tc>
        <w:tc>
          <w:tcPr>
            <w:tcW w:type="dxa" w:w="994"/>
            <w:tcMar>
              <w:top w:w="80" w:type="dxa"/>
              <w:bottom w:w="80" w:type="dxa"/>
              <w:left w:w="80" w:type="dxa"/>
              <w:right w:w="80" w:type="dxa"/>
            </w:tcMar>
            <w:vAlign w:val="center"/>
          </w:tcPr>
          <w:p>
            <w:pPr>
              <w:jc w:val="center"/>
            </w:pPr>
            <w:r>
              <w:rPr>
                <w:b/>
                <w:sz w:val="16"/>
              </w:rPr>
              <w:t>Per Site</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joint ATP-B sign-off.</w:t>
            </w:r>
          </w:p>
        </w:tc>
        <w:tc>
          <w:tcPr>
            <w:tcW w:type="dxa" w:w="994"/>
            <w:tcMar>
              <w:top w:w="80" w:type="dxa"/>
              <w:bottom w:w="80" w:type="dxa"/>
              <w:left w:w="80" w:type="dxa"/>
              <w:right w:w="80" w:type="dxa"/>
            </w:tcMar>
            <w:vAlign w:val="center"/>
          </w:tcPr>
          <w:p>
            <w:r>
              <w:rPr>
                <w:sz w:val="16"/>
              </w:rPr>
              <w:t>Signed ATP-B Functional Acceptance Certificate</w:t>
            </w:r>
          </w:p>
        </w:tc>
      </w:tr>
      <w:tr>
        <w:tc>
          <w:tcPr>
            <w:tcW w:type="dxa" w:w="994"/>
            <w:tcMar>
              <w:top w:w="80" w:type="dxa"/>
              <w:bottom w:w="80" w:type="dxa"/>
              <w:left w:w="80" w:type="dxa"/>
              <w:right w:w="80" w:type="dxa"/>
            </w:tcMar>
            <w:vAlign w:val="center"/>
          </w:tcPr>
          <w:p>
            <w:pPr>
              <w:jc w:val="center"/>
            </w:pPr>
            <w:r>
              <w:rPr>
                <w:b/>
                <w:sz w:val="16"/>
              </w:rPr>
              <w:t>ACC-03</w:t>
            </w:r>
          </w:p>
        </w:tc>
        <w:tc>
          <w:tcPr>
            <w:tcW w:type="dxa" w:w="994"/>
            <w:tcMar>
              <w:top w:w="80" w:type="dxa"/>
              <w:bottom w:w="80" w:type="dxa"/>
              <w:left w:w="80" w:type="dxa"/>
              <w:right w:w="80" w:type="dxa"/>
            </w:tcMar>
            <w:vAlign w:val="center"/>
          </w:tcPr>
          <w:p>
            <w:r>
              <w:rPr>
                <w:sz w:val="16"/>
              </w:rPr>
              <w:t>Single Site Verification (SSV) &amp; RF Call Testing</w:t>
            </w:r>
          </w:p>
        </w:tc>
        <w:tc>
          <w:tcPr>
            <w:tcW w:type="dxa" w:w="994"/>
            <w:tcMar>
              <w:top w:w="80" w:type="dxa"/>
              <w:bottom w:w="80" w:type="dxa"/>
              <w:left w:w="80" w:type="dxa"/>
              <w:right w:w="80" w:type="dxa"/>
            </w:tcMar>
            <w:vAlign w:val="center"/>
          </w:tcPr>
          <w:p>
            <w:r>
              <w:rPr>
                <w:sz w:val="16"/>
              </w:rPr>
              <w:t>On-ground field testing using 5G test UE and scanner: stationary throughput tests at near, mid, and cell-edge points per sector (validating &gt;= 450 Mbps peak DL, &gt;= 50 Mbps cell-edge DL, &gt;= 15 Mbps cell-edge UL); sector swap validation; intra-site handover execution; latency measurement (&lt;= 18 ms RTT); and compilation and sign-off of the formal SSV Report.</w:t>
              <w:br/>
              <w:t>• Inclusions: Stationary throughput tests, sector swap check, handover test, ping test, SSV report compilation.</w:t>
              <w:br/>
              <w:t>• Exclusions: Multi-site cluster drive testing (covered under Category 7).</w:t>
            </w:r>
          </w:p>
        </w:tc>
        <w:tc>
          <w:tcPr>
            <w:tcW w:type="dxa" w:w="994"/>
            <w:tcMar>
              <w:top w:w="80" w:type="dxa"/>
              <w:bottom w:w="80" w:type="dxa"/>
              <w:left w:w="80" w:type="dxa"/>
              <w:right w:w="80" w:type="dxa"/>
            </w:tcMar>
            <w:vAlign w:val="center"/>
          </w:tcPr>
          <w:p>
            <w:pPr>
              <w:jc w:val="center"/>
            </w:pPr>
            <w:r>
              <w:rPr>
                <w:b/>
                <w:sz w:val="16"/>
              </w:rPr>
              <w:t>Per Site</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formal SSV Report approval by Operator.</w:t>
            </w:r>
          </w:p>
        </w:tc>
        <w:tc>
          <w:tcPr>
            <w:tcW w:type="dxa" w:w="994"/>
            <w:tcMar>
              <w:top w:w="80" w:type="dxa"/>
              <w:bottom w:w="80" w:type="dxa"/>
              <w:left w:w="80" w:type="dxa"/>
              <w:right w:w="80" w:type="dxa"/>
            </w:tcMar>
            <w:vAlign w:val="center"/>
          </w:tcPr>
          <w:p>
            <w:r>
              <w:rPr>
                <w:sz w:val="16"/>
              </w:rPr>
              <w:t>Approved Single Site Verification (SSV) Report &amp; Log Files</w:t>
            </w:r>
          </w:p>
        </w:tc>
      </w:tr>
      <w:tr>
        <w:tc>
          <w:tcPr>
            <w:tcW w:type="dxa" w:w="9940"/>
            <w:gridSpan w:val="10"/>
            <w:shd w:fill="E2E8F0"/>
            <w:tcMar>
              <w:top w:w="100" w:type="dxa"/>
              <w:bottom w:w="100" w:type="dxa"/>
              <w:left w:w="150" w:type="dxa"/>
              <w:right w:w="150" w:type="dxa"/>
            </w:tcMar>
          </w:tcPr>
          <w:p>
            <w:r>
              <w:rPr>
                <w:b/>
                <w:color w:val="0F3460"/>
                <w:sz w:val="18"/>
              </w:rPr>
              <w:t>DOMAIN: CLUSTER RADIO NETWORK OPTIMIZATION</w:t>
            </w:r>
          </w:p>
        </w:tc>
      </w:tr>
      <w:tr>
        <w:tc>
          <w:tcPr>
            <w:tcW w:type="dxa" w:w="994"/>
            <w:tcMar>
              <w:top w:w="80" w:type="dxa"/>
              <w:bottom w:w="80" w:type="dxa"/>
              <w:left w:w="80" w:type="dxa"/>
              <w:right w:w="80" w:type="dxa"/>
            </w:tcMar>
            <w:vAlign w:val="center"/>
          </w:tcPr>
          <w:p>
            <w:pPr>
              <w:jc w:val="center"/>
            </w:pPr>
            <w:r>
              <w:rPr>
                <w:b/>
                <w:sz w:val="16"/>
              </w:rPr>
              <w:t>RNO-01</w:t>
            </w:r>
          </w:p>
        </w:tc>
        <w:tc>
          <w:tcPr>
            <w:tcW w:type="dxa" w:w="994"/>
            <w:tcMar>
              <w:top w:w="80" w:type="dxa"/>
              <w:bottom w:w="80" w:type="dxa"/>
              <w:left w:w="80" w:type="dxa"/>
              <w:right w:w="80" w:type="dxa"/>
            </w:tcMar>
            <w:vAlign w:val="center"/>
          </w:tcPr>
          <w:p>
            <w:r>
              <w:rPr>
                <w:sz w:val="16"/>
              </w:rPr>
              <w:t>Pre-Launch Cluster Drive Testing &amp; RF Baseline Audit</w:t>
            </w:r>
          </w:p>
        </w:tc>
        <w:tc>
          <w:tcPr>
            <w:tcW w:type="dxa" w:w="994"/>
            <w:tcMar>
              <w:top w:w="80" w:type="dxa"/>
              <w:bottom w:w="80" w:type="dxa"/>
              <w:left w:w="80" w:type="dxa"/>
              <w:right w:w="80" w:type="dxa"/>
            </w:tcMar>
            <w:vAlign w:val="center"/>
          </w:tcPr>
          <w:p>
            <w:r>
              <w:rPr>
                <w:sz w:val="16"/>
              </w:rPr>
              <w:t>Continuous scanner and test UE drive testing across contiguous clusters of 10–20 sites; capturing RSRP, SINR, CQI, throughput, and coverage overlap; and identifying pilot pollution zones, coverage holes, and excessive inter-cell interference.</w:t>
              <w:br/>
              <w:t>• Inclusions: Drive test vehicle, scanner, test UEs, GPS logging, drive test raw log processing, baseline report.</w:t>
              <w:br/>
              <w:t>• Exclusions: Physical antenna re-orientation (governed under RNO-02).</w:t>
            </w:r>
          </w:p>
        </w:tc>
        <w:tc>
          <w:tcPr>
            <w:tcW w:type="dxa" w:w="994"/>
            <w:tcMar>
              <w:top w:w="80" w:type="dxa"/>
              <w:bottom w:w="80" w:type="dxa"/>
              <w:left w:w="80" w:type="dxa"/>
              <w:right w:w="80" w:type="dxa"/>
            </w:tcMar>
            <w:vAlign w:val="center"/>
          </w:tcPr>
          <w:p>
            <w:pPr>
              <w:jc w:val="center"/>
            </w:pPr>
            <w:r>
              <w:rPr>
                <w:b/>
                <w:sz w:val="16"/>
              </w:rPr>
              <w:t>Per Site Share (or Per Cluster)</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50% upon completion of cluster drive test and baseline report submission.</w:t>
            </w:r>
          </w:p>
        </w:tc>
        <w:tc>
          <w:tcPr>
            <w:tcW w:type="dxa" w:w="994"/>
            <w:tcMar>
              <w:top w:w="80" w:type="dxa"/>
              <w:bottom w:w="80" w:type="dxa"/>
              <w:left w:w="80" w:type="dxa"/>
              <w:right w:w="80" w:type="dxa"/>
            </w:tcMar>
            <w:vAlign w:val="center"/>
          </w:tcPr>
          <w:p>
            <w:r>
              <w:rPr>
                <w:sz w:val="16"/>
              </w:rPr>
              <w:t>Cluster Drive Test Raw Logs &amp; RF Baseline Audit Report</w:t>
            </w:r>
          </w:p>
        </w:tc>
      </w:tr>
      <w:tr>
        <w:tc>
          <w:tcPr>
            <w:tcW w:type="dxa" w:w="994"/>
            <w:tcMar>
              <w:top w:w="80" w:type="dxa"/>
              <w:bottom w:w="80" w:type="dxa"/>
              <w:left w:w="80" w:type="dxa"/>
              <w:right w:w="80" w:type="dxa"/>
            </w:tcMar>
            <w:vAlign w:val="center"/>
          </w:tcPr>
          <w:p>
            <w:pPr>
              <w:jc w:val="center"/>
            </w:pPr>
            <w:r>
              <w:rPr>
                <w:b/>
                <w:sz w:val="16"/>
              </w:rPr>
              <w:t>RNO-02</w:t>
            </w:r>
          </w:p>
        </w:tc>
        <w:tc>
          <w:tcPr>
            <w:tcW w:type="dxa" w:w="994"/>
            <w:tcMar>
              <w:top w:w="80" w:type="dxa"/>
              <w:bottom w:w="80" w:type="dxa"/>
              <w:left w:w="80" w:type="dxa"/>
              <w:right w:w="80" w:type="dxa"/>
            </w:tcMar>
            <w:vAlign w:val="center"/>
          </w:tcPr>
          <w:p>
            <w:r>
              <w:rPr>
                <w:sz w:val="16"/>
              </w:rPr>
              <w:t>Cluster Physical &amp; Soft Parameter Optimization</w:t>
            </w:r>
          </w:p>
        </w:tc>
        <w:tc>
          <w:tcPr>
            <w:tcW w:type="dxa" w:w="994"/>
            <w:tcMar>
              <w:top w:w="80" w:type="dxa"/>
              <w:bottom w:w="80" w:type="dxa"/>
              <w:left w:w="80" w:type="dxa"/>
              <w:right w:w="80" w:type="dxa"/>
            </w:tcMar>
            <w:vAlign w:val="center"/>
          </w:tcPr>
          <w:p>
            <w:r>
              <w:rPr>
                <w:sz w:val="16"/>
              </w:rPr>
              <w:t>Iterative optimization across cluster: electronic remote electrical tilt (eRET) adjustments to control cell-edge interference and shape coverage; azimuth and mechanical tilt adjustments where indicated; PCI re-planning to resolve mod-3/mod-30 clashes; neighbor list (NCL) cleanup; handover threshold tuning; and uplink power control adjustments.</w:t>
              <w:br/>
              <w:t>• Inclusions: eRET tuning, PCI re-planning, neighbor tuning, handover optimization, parameter upload script.</w:t>
              <w:br/>
              <w:t>• Exclusions: Major tower antenna re-heightening (governed by call-out rate card).</w:t>
            </w:r>
          </w:p>
        </w:tc>
        <w:tc>
          <w:tcPr>
            <w:tcW w:type="dxa" w:w="994"/>
            <w:tcMar>
              <w:top w:w="80" w:type="dxa"/>
              <w:bottom w:w="80" w:type="dxa"/>
              <w:left w:w="80" w:type="dxa"/>
              <w:right w:w="80" w:type="dxa"/>
            </w:tcMar>
            <w:vAlign w:val="center"/>
          </w:tcPr>
          <w:p>
            <w:pPr>
              <w:jc w:val="center"/>
            </w:pPr>
            <w:r>
              <w:rPr>
                <w:b/>
                <w:sz w:val="16"/>
              </w:rPr>
              <w:t>Per Site Share (or Per Cluster)</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50% upon parameter implementation and verification in OSS.</w:t>
            </w:r>
          </w:p>
        </w:tc>
        <w:tc>
          <w:tcPr>
            <w:tcW w:type="dxa" w:w="994"/>
            <w:tcMar>
              <w:top w:w="80" w:type="dxa"/>
              <w:bottom w:w="80" w:type="dxa"/>
              <w:left w:w="80" w:type="dxa"/>
              <w:right w:w="80" w:type="dxa"/>
            </w:tcMar>
            <w:vAlign w:val="center"/>
          </w:tcPr>
          <w:p>
            <w:r>
              <w:rPr>
                <w:sz w:val="16"/>
              </w:rPr>
              <w:t>Cluster Parameter Optimization Record &amp; Delta Script</w:t>
            </w:r>
          </w:p>
        </w:tc>
      </w:tr>
      <w:tr>
        <w:tc>
          <w:tcPr>
            <w:tcW w:type="dxa" w:w="994"/>
            <w:tcMar>
              <w:top w:w="80" w:type="dxa"/>
              <w:bottom w:w="80" w:type="dxa"/>
              <w:left w:w="80" w:type="dxa"/>
              <w:right w:w="80" w:type="dxa"/>
            </w:tcMar>
            <w:vAlign w:val="center"/>
          </w:tcPr>
          <w:p>
            <w:pPr>
              <w:jc w:val="center"/>
            </w:pPr>
            <w:r>
              <w:rPr>
                <w:b/>
                <w:sz w:val="16"/>
              </w:rPr>
              <w:t>RNO-03</w:t>
            </w:r>
          </w:p>
        </w:tc>
        <w:tc>
          <w:tcPr>
            <w:tcW w:type="dxa" w:w="994"/>
            <w:tcMar>
              <w:top w:w="80" w:type="dxa"/>
              <w:bottom w:w="80" w:type="dxa"/>
              <w:left w:w="80" w:type="dxa"/>
              <w:right w:w="80" w:type="dxa"/>
            </w:tcMar>
            <w:vAlign w:val="center"/>
          </w:tcPr>
          <w:p>
            <w:r>
              <w:rPr>
                <w:sz w:val="16"/>
              </w:rPr>
              <w:t>Cluster Acceptance KPI Validation &amp; Final Sign-Off</w:t>
            </w:r>
          </w:p>
        </w:tc>
        <w:tc>
          <w:tcPr>
            <w:tcW w:type="dxa" w:w="994"/>
            <w:tcMar>
              <w:top w:w="80" w:type="dxa"/>
              <w:bottom w:w="80" w:type="dxa"/>
              <w:left w:w="80" w:type="dxa"/>
              <w:right w:w="80" w:type="dxa"/>
            </w:tcMar>
            <w:vAlign w:val="center"/>
          </w:tcPr>
          <w:p>
            <w:r>
              <w:rPr>
                <w:sz w:val="16"/>
              </w:rPr>
              <w:t>Post-tuning verification drive test and OSS 14-day statistical performance audit: validating cluster Radio Availability &gt;= 99.95%, Session Setup Success Rate (CSSR) &gt;= 99.60%, Session Drop Rate (CDDR) &lt;= 0.15%, cluster average DL throughput &gt;= 450 Mbps, cell-edge DL &gt;= 50 Mbps; and submission of formal Cluster Acceptance Dossier.</w:t>
              <w:br/>
              <w:t>• Inclusions: Verification drive test, 14-day OSS KPI statistical audit, benchmark reporting, formal sign-off.</w:t>
              <w:br/>
              <w:t>• Exclusions: Ongoing post-commercial operations optimization (covered under Lot 6 Managed Services).</w:t>
            </w:r>
          </w:p>
        </w:tc>
        <w:tc>
          <w:tcPr>
            <w:tcW w:type="dxa" w:w="994"/>
            <w:tcMar>
              <w:top w:w="80" w:type="dxa"/>
              <w:bottom w:w="80" w:type="dxa"/>
              <w:left w:w="80" w:type="dxa"/>
              <w:right w:w="80" w:type="dxa"/>
            </w:tcMar>
            <w:vAlign w:val="center"/>
          </w:tcPr>
          <w:p>
            <w:pPr>
              <w:jc w:val="center"/>
            </w:pPr>
            <w:r>
              <w:rPr>
                <w:b/>
                <w:sz w:val="16"/>
              </w:rPr>
              <w:t>Per Cluster (65 Clusters Phase 1 / 325 Clusters Program)</w:t>
            </w:r>
          </w:p>
        </w:tc>
        <w:tc>
          <w:tcPr>
            <w:tcW w:type="dxa" w:w="994"/>
            <w:tcMar>
              <w:top w:w="80" w:type="dxa"/>
              <w:bottom w:w="80" w:type="dxa"/>
              <w:left w:w="80" w:type="dxa"/>
              <w:right w:w="80" w:type="dxa"/>
            </w:tcMar>
            <w:vAlign w:val="center"/>
          </w:tcPr>
          <w:p>
            <w:pPr>
              <w:jc w:val="center"/>
            </w:pPr>
            <w:r>
              <w:rPr>
                <w:b/>
                <w:sz w:val="16"/>
              </w:rPr>
              <w:t>65</w:t>
            </w:r>
          </w:p>
        </w:tc>
        <w:tc>
          <w:tcPr>
            <w:tcW w:type="dxa" w:w="994"/>
            <w:tcMar>
              <w:top w:w="80" w:type="dxa"/>
              <w:bottom w:w="80" w:type="dxa"/>
              <w:left w:w="80" w:type="dxa"/>
              <w:right w:w="80" w:type="dxa"/>
            </w:tcMar>
            <w:vAlign w:val="center"/>
          </w:tcPr>
          <w:p>
            <w:pPr>
              <w:jc w:val="center"/>
            </w:pPr>
            <w:r>
              <w:rPr>
                <w:b/>
                <w:sz w:val="16"/>
              </w:rPr>
              <w:t>325</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formal sign-off of Cluster Acceptance Certificate.</w:t>
            </w:r>
          </w:p>
        </w:tc>
        <w:tc>
          <w:tcPr>
            <w:tcW w:type="dxa" w:w="994"/>
            <w:tcMar>
              <w:top w:w="80" w:type="dxa"/>
              <w:bottom w:w="80" w:type="dxa"/>
              <w:left w:w="80" w:type="dxa"/>
              <w:right w:w="80" w:type="dxa"/>
            </w:tcMar>
            <w:vAlign w:val="center"/>
          </w:tcPr>
          <w:p>
            <w:r>
              <w:rPr>
                <w:sz w:val="16"/>
              </w:rPr>
              <w:t>Approved Cluster Acceptance Certificate &amp; 14-Day KPI Audit Report</w:t>
            </w:r>
          </w:p>
        </w:tc>
      </w:tr>
      <w:tr>
        <w:tc>
          <w:tcPr>
            <w:tcW w:type="dxa" w:w="9940"/>
            <w:gridSpan w:val="10"/>
            <w:shd w:fill="E2E8F0"/>
            <w:tcMar>
              <w:top w:w="100" w:type="dxa"/>
              <w:bottom w:w="100" w:type="dxa"/>
              <w:left w:w="150" w:type="dxa"/>
              <w:right w:w="150" w:type="dxa"/>
            </w:tcMar>
          </w:tcPr>
          <w:p>
            <w:r>
              <w:rPr>
                <w:b/>
                <w:color w:val="0F3460"/>
                <w:sz w:val="18"/>
              </w:rPr>
              <w:t>DOMAIN: OPERATIONS &amp; MAINTENANCE (O&amp;M) / MANAGED SERVICES</w:t>
            </w:r>
          </w:p>
        </w:tc>
      </w:tr>
      <w:tr>
        <w:tc>
          <w:tcPr>
            <w:tcW w:type="dxa" w:w="994"/>
            <w:tcMar>
              <w:top w:w="80" w:type="dxa"/>
              <w:bottom w:w="80" w:type="dxa"/>
              <w:left w:w="80" w:type="dxa"/>
              <w:right w:w="80" w:type="dxa"/>
            </w:tcMar>
            <w:vAlign w:val="center"/>
          </w:tcPr>
          <w:p>
            <w:pPr>
              <w:jc w:val="center"/>
            </w:pPr>
            <w:r>
              <w:rPr>
                <w:b/>
                <w:sz w:val="16"/>
              </w:rPr>
              <w:t>MS-NOC-01</w:t>
            </w:r>
          </w:p>
        </w:tc>
        <w:tc>
          <w:tcPr>
            <w:tcW w:type="dxa" w:w="994"/>
            <w:tcMar>
              <w:top w:w="80" w:type="dxa"/>
              <w:bottom w:w="80" w:type="dxa"/>
              <w:left w:w="80" w:type="dxa"/>
              <w:right w:w="80" w:type="dxa"/>
            </w:tcMar>
            <w:vAlign w:val="center"/>
          </w:tcPr>
          <w:p>
            <w:r>
              <w:rPr>
                <w:sz w:val="16"/>
              </w:rPr>
              <w:t>24/7/365 Central NOC Tier-1 Active Surveillance &amp; Alarm Monitoring</w:t>
            </w:r>
          </w:p>
        </w:tc>
        <w:tc>
          <w:tcPr>
            <w:tcW w:type="dxa" w:w="994"/>
            <w:tcMar>
              <w:top w:w="80" w:type="dxa"/>
              <w:bottom w:w="80" w:type="dxa"/>
              <w:left w:w="80" w:type="dxa"/>
              <w:right w:w="80" w:type="dxa"/>
            </w:tcMar>
            <w:vAlign w:val="center"/>
          </w:tcPr>
          <w:p>
            <w:r>
              <w:rPr>
                <w:sz w:val="16"/>
              </w:rPr>
              <w:t>Continuous 24/7/365 active monitoring of all active and passive network elements across RAN, Core, Power, and Transmission; automated alarm correlation and noise suppression; ticket logging within 5 minutes of alarm onset; and issuance of Daily Operational Flash Report at 06:00 PHT.</w:t>
              <w:br/>
              <w:t>• Inclusions: 24/7 Tier-1 NOC staffing, automated correlation, trouble ticket creation, daily flash reporting.</w:t>
              <w:br/>
              <w:t>• Exclusions: Third-party commercial power utility outages outside contractor control (tracked as excusable SLA).</w:t>
            </w:r>
          </w:p>
        </w:tc>
        <w:tc>
          <w:tcPr>
            <w:tcW w:type="dxa" w:w="994"/>
            <w:tcMar>
              <w:top w:w="80" w:type="dxa"/>
              <w:bottom w:w="80" w:type="dxa"/>
              <w:left w:w="80" w:type="dxa"/>
              <w:right w:w="80" w:type="dxa"/>
            </w:tcMar>
            <w:vAlign w:val="center"/>
          </w:tcPr>
          <w:p>
            <w:pPr>
              <w:jc w:val="center"/>
            </w:pPr>
            <w:r>
              <w:rPr>
                <w:b/>
                <w:sz w:val="16"/>
              </w:rPr>
              <w:t>Per Site / Month</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Monthly in arrears upon SLA performance certification.</w:t>
            </w:r>
          </w:p>
        </w:tc>
        <w:tc>
          <w:tcPr>
            <w:tcW w:type="dxa" w:w="994"/>
            <w:tcMar>
              <w:top w:w="80" w:type="dxa"/>
              <w:bottom w:w="80" w:type="dxa"/>
              <w:left w:w="80" w:type="dxa"/>
              <w:right w:w="80" w:type="dxa"/>
            </w:tcMar>
            <w:vAlign w:val="center"/>
          </w:tcPr>
          <w:p>
            <w:r>
              <w:rPr>
                <w:sz w:val="16"/>
              </w:rPr>
              <w:t>Daily Flash Reports, Monthly NOC Surveillance Dossier &amp; Availability Report</w:t>
            </w:r>
          </w:p>
        </w:tc>
      </w:tr>
      <w:tr>
        <w:tc>
          <w:tcPr>
            <w:tcW w:type="dxa" w:w="994"/>
            <w:tcMar>
              <w:top w:w="80" w:type="dxa"/>
              <w:bottom w:w="80" w:type="dxa"/>
              <w:left w:w="80" w:type="dxa"/>
              <w:right w:w="80" w:type="dxa"/>
            </w:tcMar>
            <w:vAlign w:val="center"/>
          </w:tcPr>
          <w:p>
            <w:pPr>
              <w:jc w:val="center"/>
            </w:pPr>
            <w:r>
              <w:rPr>
                <w:b/>
                <w:sz w:val="16"/>
              </w:rPr>
              <w:t>MS-NOC-02</w:t>
            </w:r>
          </w:p>
        </w:tc>
        <w:tc>
          <w:tcPr>
            <w:tcW w:type="dxa" w:w="994"/>
            <w:tcMar>
              <w:top w:w="80" w:type="dxa"/>
              <w:bottom w:w="80" w:type="dxa"/>
              <w:left w:w="80" w:type="dxa"/>
              <w:right w:w="80" w:type="dxa"/>
            </w:tcMar>
            <w:vAlign w:val="center"/>
          </w:tcPr>
          <w:p>
            <w:r>
              <w:rPr>
                <w:sz w:val="16"/>
              </w:rPr>
              <w:t>Incident Management, Triage &amp; Automated Trouble Ticketing</w:t>
            </w:r>
          </w:p>
        </w:tc>
        <w:tc>
          <w:tcPr>
            <w:tcW w:type="dxa" w:w="994"/>
            <w:tcMar>
              <w:top w:w="80" w:type="dxa"/>
              <w:bottom w:w="80" w:type="dxa"/>
              <w:left w:w="80" w:type="dxa"/>
              <w:right w:w="80" w:type="dxa"/>
            </w:tcMar>
            <w:vAlign w:val="center"/>
          </w:tcPr>
          <w:p>
            <w:r>
              <w:rPr>
                <w:sz w:val="16"/>
              </w:rPr>
              <w:t>End-to-end incident management: automated ticketing via OSS/ITSM; severity classification (Sev 1 Critical to Sev 4 Warning); technician dispatch initiation within 15 minutes for Sev 1 incidents; bridge coordination; and stakeholder notification.</w:t>
              <w:br/>
              <w:t>• Inclusions: ITSM platform, ticket lifecycle tracking, escalation dispatch, MTTR SLA auditing.</w:t>
              <w:br/>
              <w:t>• Exclusions: Operator customer service call center operations (BSS scope).</w:t>
            </w:r>
          </w:p>
        </w:tc>
        <w:tc>
          <w:tcPr>
            <w:tcW w:type="dxa" w:w="994"/>
            <w:tcMar>
              <w:top w:w="80" w:type="dxa"/>
              <w:bottom w:w="80" w:type="dxa"/>
              <w:left w:w="80" w:type="dxa"/>
              <w:right w:w="80" w:type="dxa"/>
            </w:tcMar>
            <w:vAlign w:val="center"/>
          </w:tcPr>
          <w:p>
            <w:pPr>
              <w:jc w:val="center"/>
            </w:pPr>
            <w:r>
              <w:rPr>
                <w:b/>
                <w:sz w:val="16"/>
              </w:rPr>
              <w:t>Per Site / Month</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Monthly in arrears.</w:t>
            </w:r>
          </w:p>
        </w:tc>
        <w:tc>
          <w:tcPr>
            <w:tcW w:type="dxa" w:w="994"/>
            <w:tcMar>
              <w:top w:w="80" w:type="dxa"/>
              <w:bottom w:w="80" w:type="dxa"/>
              <w:left w:w="80" w:type="dxa"/>
              <w:right w:w="80" w:type="dxa"/>
            </w:tcMar>
            <w:vAlign w:val="center"/>
          </w:tcPr>
          <w:p>
            <w:r>
              <w:rPr>
                <w:sz w:val="16"/>
              </w:rPr>
              <w:t>Monthly Trouble Ticket Log, MTTR Audit &amp; Dispatch Statistics</w:t>
            </w:r>
          </w:p>
        </w:tc>
      </w:tr>
      <w:tr>
        <w:tc>
          <w:tcPr>
            <w:tcW w:type="dxa" w:w="994"/>
            <w:tcMar>
              <w:top w:w="80" w:type="dxa"/>
              <w:bottom w:w="80" w:type="dxa"/>
              <w:left w:w="80" w:type="dxa"/>
              <w:right w:w="80" w:type="dxa"/>
            </w:tcMar>
            <w:vAlign w:val="center"/>
          </w:tcPr>
          <w:p>
            <w:pPr>
              <w:jc w:val="center"/>
            </w:pPr>
            <w:r>
              <w:rPr>
                <w:b/>
                <w:sz w:val="16"/>
              </w:rPr>
              <w:t>MS-NOC-03</w:t>
            </w:r>
          </w:p>
        </w:tc>
        <w:tc>
          <w:tcPr>
            <w:tcW w:type="dxa" w:w="994"/>
            <w:tcMar>
              <w:top w:w="80" w:type="dxa"/>
              <w:bottom w:w="80" w:type="dxa"/>
              <w:left w:w="80" w:type="dxa"/>
              <w:right w:w="80" w:type="dxa"/>
            </w:tcMar>
            <w:vAlign w:val="center"/>
          </w:tcPr>
          <w:p>
            <w:r>
              <w:rPr>
                <w:sz w:val="16"/>
              </w:rPr>
              <w:t>Tier-2 Remote Technical Diagnostics, Fault Recovery &amp; Config Management</w:t>
            </w:r>
          </w:p>
        </w:tc>
        <w:tc>
          <w:tcPr>
            <w:tcW w:type="dxa" w:w="994"/>
            <w:tcMar>
              <w:top w:w="80" w:type="dxa"/>
              <w:bottom w:w="80" w:type="dxa"/>
              <w:left w:w="80" w:type="dxa"/>
              <w:right w:w="80" w:type="dxa"/>
            </w:tcMar>
            <w:vAlign w:val="center"/>
          </w:tcPr>
          <w:p>
            <w:r>
              <w:rPr>
                <w:sz w:val="16"/>
              </w:rPr>
              <w:t>24/7 remote engineering support: soft and hard resets, remote diagnostic sweeps, card re-initialization, backup configuration restoration, transmission routing failover, and software rollback to clear network faults without field truck rolls.</w:t>
              <w:br/>
              <w:t>• Inclusions: Tier-2 remote engineers, remote script execution, transmission path failover, config restoration.</w:t>
              <w:br/>
              <w:t>• Exclusions: Physical on-site hardware replacement (covered under FLM).</w:t>
            </w:r>
          </w:p>
        </w:tc>
        <w:tc>
          <w:tcPr>
            <w:tcW w:type="dxa" w:w="994"/>
            <w:tcMar>
              <w:top w:w="80" w:type="dxa"/>
              <w:bottom w:w="80" w:type="dxa"/>
              <w:left w:w="80" w:type="dxa"/>
              <w:right w:w="80" w:type="dxa"/>
            </w:tcMar>
            <w:vAlign w:val="center"/>
          </w:tcPr>
          <w:p>
            <w:pPr>
              <w:jc w:val="center"/>
            </w:pPr>
            <w:r>
              <w:rPr>
                <w:b/>
                <w:sz w:val="16"/>
              </w:rPr>
              <w:t>Per Site / Month</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Monthly in arrears.</w:t>
            </w:r>
          </w:p>
        </w:tc>
        <w:tc>
          <w:tcPr>
            <w:tcW w:type="dxa" w:w="994"/>
            <w:tcMar>
              <w:top w:w="80" w:type="dxa"/>
              <w:bottom w:w="80" w:type="dxa"/>
              <w:left w:w="80" w:type="dxa"/>
              <w:right w:w="80" w:type="dxa"/>
            </w:tcMar>
            <w:vAlign w:val="center"/>
          </w:tcPr>
          <w:p>
            <w:r>
              <w:rPr>
                <w:sz w:val="16"/>
              </w:rPr>
              <w:t>Remote Fault Resolution Log &amp; Configuration Change Audit</w:t>
            </w:r>
          </w:p>
        </w:tc>
      </w:tr>
      <w:tr>
        <w:tc>
          <w:tcPr>
            <w:tcW w:type="dxa" w:w="994"/>
            <w:tcMar>
              <w:top w:w="80" w:type="dxa"/>
              <w:bottom w:w="80" w:type="dxa"/>
              <w:left w:w="80" w:type="dxa"/>
              <w:right w:w="80" w:type="dxa"/>
            </w:tcMar>
            <w:vAlign w:val="center"/>
          </w:tcPr>
          <w:p>
            <w:pPr>
              <w:jc w:val="center"/>
            </w:pPr>
            <w:r>
              <w:rPr>
                <w:b/>
                <w:sz w:val="16"/>
              </w:rPr>
              <w:t>MS-NOC-04</w:t>
            </w:r>
          </w:p>
        </w:tc>
        <w:tc>
          <w:tcPr>
            <w:tcW w:type="dxa" w:w="994"/>
            <w:tcMar>
              <w:top w:w="80" w:type="dxa"/>
              <w:bottom w:w="80" w:type="dxa"/>
              <w:left w:w="80" w:type="dxa"/>
              <w:right w:w="80" w:type="dxa"/>
            </w:tcMar>
            <w:vAlign w:val="center"/>
          </w:tcPr>
          <w:p>
            <w:r>
              <w:rPr>
                <w:sz w:val="16"/>
              </w:rPr>
              <w:t>Tier-3 Engineering Escalation &amp; OEM TAC Management</w:t>
            </w:r>
          </w:p>
        </w:tc>
        <w:tc>
          <w:tcPr>
            <w:tcW w:type="dxa" w:w="994"/>
            <w:tcMar>
              <w:top w:w="80" w:type="dxa"/>
              <w:bottom w:w="80" w:type="dxa"/>
              <w:left w:w="80" w:type="dxa"/>
              <w:right w:w="80" w:type="dxa"/>
            </w:tcMar>
            <w:vAlign w:val="center"/>
          </w:tcPr>
          <w:p>
            <w:r>
              <w:rPr>
                <w:sz w:val="16"/>
              </w:rPr>
              <w:t>Advanced engineering escalation for complex system bugs, protocol crashes, and persistent hardware/software anomalies: case logging with OEM TAC (Level 3), trace log collection, bug patch testing, software patch deployment, and Root Cause Analysis (RCA) reporting within 24 hours of major incident restoration.</w:t>
              <w:br/>
              <w:t>• Inclusions: OEM TAC case management, trace capture, patch verification, RCA report compilation.</w:t>
              <w:br/>
              <w:t>• Exclusions: OEM base software annual license royalties (governed under Software AMC).</w:t>
            </w:r>
          </w:p>
        </w:tc>
        <w:tc>
          <w:tcPr>
            <w:tcW w:type="dxa" w:w="994"/>
            <w:tcMar>
              <w:top w:w="80" w:type="dxa"/>
              <w:bottom w:w="80" w:type="dxa"/>
              <w:left w:w="80" w:type="dxa"/>
              <w:right w:w="80" w:type="dxa"/>
            </w:tcMar>
            <w:vAlign w:val="center"/>
          </w:tcPr>
          <w:p>
            <w:pPr>
              <w:jc w:val="center"/>
            </w:pPr>
            <w:r>
              <w:rPr>
                <w:b/>
                <w:sz w:val="16"/>
              </w:rPr>
              <w:t>Per Site / Month</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Monthly in arrears.</w:t>
            </w:r>
          </w:p>
        </w:tc>
        <w:tc>
          <w:tcPr>
            <w:tcW w:type="dxa" w:w="994"/>
            <w:tcMar>
              <w:top w:w="80" w:type="dxa"/>
              <w:bottom w:w="80" w:type="dxa"/>
              <w:left w:w="80" w:type="dxa"/>
              <w:right w:w="80" w:type="dxa"/>
            </w:tcMar>
            <w:vAlign w:val="center"/>
          </w:tcPr>
          <w:p>
            <w:r>
              <w:rPr>
                <w:sz w:val="16"/>
              </w:rPr>
              <w:t>Formal Root Cause Analysis (RCA) Reports &amp; OEM TAC Case Log</w:t>
            </w:r>
          </w:p>
        </w:tc>
      </w:tr>
      <w:tr>
        <w:tc>
          <w:tcPr>
            <w:tcW w:type="dxa" w:w="994"/>
            <w:tcMar>
              <w:top w:w="80" w:type="dxa"/>
              <w:bottom w:w="80" w:type="dxa"/>
              <w:left w:w="80" w:type="dxa"/>
              <w:right w:w="80" w:type="dxa"/>
            </w:tcMar>
            <w:vAlign w:val="center"/>
          </w:tcPr>
          <w:p>
            <w:pPr>
              <w:jc w:val="center"/>
            </w:pPr>
            <w:r>
              <w:rPr>
                <w:b/>
                <w:sz w:val="16"/>
              </w:rPr>
              <w:t>MS-FLM-01</w:t>
            </w:r>
          </w:p>
        </w:tc>
        <w:tc>
          <w:tcPr>
            <w:tcW w:type="dxa" w:w="994"/>
            <w:tcMar>
              <w:top w:w="80" w:type="dxa"/>
              <w:bottom w:w="80" w:type="dxa"/>
              <w:left w:w="80" w:type="dxa"/>
              <w:right w:w="80" w:type="dxa"/>
            </w:tcMar>
            <w:vAlign w:val="center"/>
          </w:tcPr>
          <w:p>
            <w:r>
              <w:rPr>
                <w:sz w:val="16"/>
              </w:rPr>
              <w:t>24/7 Field First Line Maintenance (FLM) Emergency Response</w:t>
            </w:r>
          </w:p>
        </w:tc>
        <w:tc>
          <w:tcPr>
            <w:tcW w:type="dxa" w:w="994"/>
            <w:tcMar>
              <w:top w:w="80" w:type="dxa"/>
              <w:bottom w:w="80" w:type="dxa"/>
              <w:left w:w="80" w:type="dxa"/>
              <w:right w:w="80" w:type="dxa"/>
            </w:tcMar>
            <w:vAlign w:val="center"/>
          </w:tcPr>
          <w:p>
            <w:r>
              <w:rPr>
                <w:sz w:val="16"/>
              </w:rPr>
              <w:t>Provision of dedicated, nationwide 24/7 mobile field maintenance crews equipped with 4x4 vehicles, complete safety gear, calibrated test instruments, and emergency restoration tools. Strict compliance with mandated MTTR SLAs: Severity 1 (Critical - Site Outage): Response &lt;= 15 mins, MTTR &lt;= 2.0h (Urban) / &lt;= 4.0h (Rural); Severity 2 (Major - Sector Down / Power Degraded): Response &lt;= 30 mins, MTTR &lt;= 4.0h (Urban) / &lt;= 6.0h (Rural); Severity 3 (Minor - Non-Service Affecting): Response &lt;= 1h, MTTR &lt;= 12.0h (Urban) / &lt;= 24.0h (Rural); Severity 4 (Warning / Planned): Response &lt;= 4h, MTTR &lt;= 48.0h (Urban) / &lt;= 72.0h (Rural).</w:t>
              <w:br/>
              <w:t>• Inclusions: Dedicated 24/7 crews, 4x4 maintenance vehicles, tools, fuel, emergency call-outs.</w:t>
              <w:br/>
              <w:t>• Exclusions: Force majeure acts of God (typhoon damage recovery governed under Call-Out Rate Card).</w:t>
            </w:r>
          </w:p>
        </w:tc>
        <w:tc>
          <w:tcPr>
            <w:tcW w:type="dxa" w:w="994"/>
            <w:tcMar>
              <w:top w:w="80" w:type="dxa"/>
              <w:bottom w:w="80" w:type="dxa"/>
              <w:left w:w="80" w:type="dxa"/>
              <w:right w:w="80" w:type="dxa"/>
            </w:tcMar>
            <w:vAlign w:val="center"/>
          </w:tcPr>
          <w:p>
            <w:pPr>
              <w:jc w:val="center"/>
            </w:pPr>
            <w:r>
              <w:rPr>
                <w:b/>
                <w:sz w:val="16"/>
              </w:rPr>
              <w:t>Per Site / Month</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Monthly in arrears, subject to SLA service credit adjustments.</w:t>
            </w:r>
          </w:p>
        </w:tc>
        <w:tc>
          <w:tcPr>
            <w:tcW w:type="dxa" w:w="994"/>
            <w:tcMar>
              <w:top w:w="80" w:type="dxa"/>
              <w:bottom w:w="80" w:type="dxa"/>
              <w:left w:w="80" w:type="dxa"/>
              <w:right w:w="80" w:type="dxa"/>
            </w:tcMar>
            <w:vAlign w:val="center"/>
          </w:tcPr>
          <w:p>
            <w:r>
              <w:rPr>
                <w:sz w:val="16"/>
              </w:rPr>
              <w:t>Monthly FLM Incident Log, Restoration Work Orders &amp; MTTR SLA Report</w:t>
            </w:r>
          </w:p>
        </w:tc>
      </w:tr>
      <w:tr>
        <w:tc>
          <w:tcPr>
            <w:tcW w:type="dxa" w:w="994"/>
            <w:tcMar>
              <w:top w:w="80" w:type="dxa"/>
              <w:bottom w:w="80" w:type="dxa"/>
              <w:left w:w="80" w:type="dxa"/>
              <w:right w:w="80" w:type="dxa"/>
            </w:tcMar>
            <w:vAlign w:val="center"/>
          </w:tcPr>
          <w:p>
            <w:pPr>
              <w:jc w:val="center"/>
            </w:pPr>
            <w:r>
              <w:rPr>
                <w:b/>
                <w:sz w:val="16"/>
              </w:rPr>
              <w:t>MS-FLM-02</w:t>
            </w:r>
          </w:p>
        </w:tc>
        <w:tc>
          <w:tcPr>
            <w:tcW w:type="dxa" w:w="994"/>
            <w:tcMar>
              <w:top w:w="80" w:type="dxa"/>
              <w:bottom w:w="80" w:type="dxa"/>
              <w:left w:w="80" w:type="dxa"/>
              <w:right w:w="80" w:type="dxa"/>
            </w:tcMar>
            <w:vAlign w:val="center"/>
          </w:tcPr>
          <w:p>
            <w:r>
              <w:rPr>
                <w:sz w:val="16"/>
              </w:rPr>
              <w:t>Active Telecom Hardware Replacement &amp; Field Swapping</w:t>
            </w:r>
          </w:p>
        </w:tc>
        <w:tc>
          <w:tcPr>
            <w:tcW w:type="dxa" w:w="994"/>
            <w:tcMar>
              <w:top w:w="80" w:type="dxa"/>
              <w:bottom w:w="80" w:type="dxa"/>
              <w:left w:w="80" w:type="dxa"/>
              <w:right w:w="80" w:type="dxa"/>
            </w:tcMar>
            <w:vAlign w:val="center"/>
          </w:tcPr>
          <w:p>
            <w:r>
              <w:rPr>
                <w:sz w:val="16"/>
              </w:rPr>
              <w:t>On-site replacement of damaged or defective active telecom hardware: RRUs, BBUs, baseband processing cards, optical SFP transceivers, RF jumpers, and GPS antennas, utilizing pre-staged regional spare parts float to achieve fast-track MTTR restoration.</w:t>
              <w:br/>
              <w:t>• Inclusions: Technician labor, de-installation, replacement installation, power-up test, return voucher.</w:t>
              <w:br/>
              <w:t>• Exclusions: Cost of out-of-warranty hardware destruction caused by third-party vandalism.</w:t>
            </w:r>
          </w:p>
        </w:tc>
        <w:tc>
          <w:tcPr>
            <w:tcW w:type="dxa" w:w="994"/>
            <w:tcMar>
              <w:top w:w="80" w:type="dxa"/>
              <w:bottom w:w="80" w:type="dxa"/>
              <w:left w:w="80" w:type="dxa"/>
              <w:right w:w="80" w:type="dxa"/>
            </w:tcMar>
            <w:vAlign w:val="center"/>
          </w:tcPr>
          <w:p>
            <w:pPr>
              <w:jc w:val="center"/>
            </w:pPr>
            <w:r>
              <w:rPr>
                <w:b/>
                <w:sz w:val="16"/>
              </w:rPr>
              <w:t>Included in FLM Monthly Retainer / Per Site-Month</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Monthly in arrears.</w:t>
            </w:r>
          </w:p>
        </w:tc>
        <w:tc>
          <w:tcPr>
            <w:tcW w:type="dxa" w:w="994"/>
            <w:tcMar>
              <w:top w:w="80" w:type="dxa"/>
              <w:bottom w:w="80" w:type="dxa"/>
              <w:left w:w="80" w:type="dxa"/>
              <w:right w:w="80" w:type="dxa"/>
            </w:tcMar>
            <w:vAlign w:val="center"/>
          </w:tcPr>
          <w:p>
            <w:r>
              <w:rPr>
                <w:sz w:val="16"/>
              </w:rPr>
              <w:t>Hardware Replacement Slip &amp; Defective Unit Return Voucher</w:t>
            </w:r>
          </w:p>
        </w:tc>
      </w:tr>
      <w:tr>
        <w:tc>
          <w:tcPr>
            <w:tcW w:type="dxa" w:w="994"/>
            <w:tcMar>
              <w:top w:w="80" w:type="dxa"/>
              <w:bottom w:w="80" w:type="dxa"/>
              <w:left w:w="80" w:type="dxa"/>
              <w:right w:w="80" w:type="dxa"/>
            </w:tcMar>
            <w:vAlign w:val="center"/>
          </w:tcPr>
          <w:p>
            <w:pPr>
              <w:jc w:val="center"/>
            </w:pPr>
            <w:r>
              <w:rPr>
                <w:b/>
                <w:sz w:val="16"/>
              </w:rPr>
              <w:t>MS-FLM-03</w:t>
            </w:r>
          </w:p>
        </w:tc>
        <w:tc>
          <w:tcPr>
            <w:tcW w:type="dxa" w:w="994"/>
            <w:tcMar>
              <w:top w:w="80" w:type="dxa"/>
              <w:bottom w:w="80" w:type="dxa"/>
              <w:left w:w="80" w:type="dxa"/>
              <w:right w:w="80" w:type="dxa"/>
            </w:tcMar>
            <w:vAlign w:val="center"/>
          </w:tcPr>
          <w:p>
            <w:r>
              <w:rPr>
                <w:sz w:val="16"/>
              </w:rPr>
              <w:t>Passive Power &amp; Infrastructure Emergency Restoration</w:t>
            </w:r>
          </w:p>
        </w:tc>
        <w:tc>
          <w:tcPr>
            <w:tcW w:type="dxa" w:w="994"/>
            <w:tcMar>
              <w:top w:w="80" w:type="dxa"/>
              <w:bottom w:w="80" w:type="dxa"/>
              <w:left w:w="80" w:type="dxa"/>
              <w:right w:w="80" w:type="dxa"/>
            </w:tcMar>
            <w:vAlign w:val="center"/>
          </w:tcPr>
          <w:p>
            <w:r>
              <w:rPr>
                <w:sz w:val="16"/>
              </w:rPr>
              <w:t>Rapid restoration of passive site elements: resetting/replacing tripped DC distribution breakers, rectifying rectifier module faults, clearing battery management system (BMS) lockouts, replacing blown AC/DC surge protection devices (SPDs), and diagnosing automatic transfer switch (ATS) failures.</w:t>
              <w:br/>
              <w:t>• Inclusions: Electrical diagnosis, breaker reset/replacement, SPD swapping, BMS diagnostic clearing.</w:t>
              <w:br/>
              <w:t>• Exclusions: Replacement of entire battery bank destroyed by external flood (insurance scope).</w:t>
            </w:r>
          </w:p>
        </w:tc>
        <w:tc>
          <w:tcPr>
            <w:tcW w:type="dxa" w:w="994"/>
            <w:tcMar>
              <w:top w:w="80" w:type="dxa"/>
              <w:bottom w:w="80" w:type="dxa"/>
              <w:left w:w="80" w:type="dxa"/>
              <w:right w:w="80" w:type="dxa"/>
            </w:tcMar>
            <w:vAlign w:val="center"/>
          </w:tcPr>
          <w:p>
            <w:pPr>
              <w:jc w:val="center"/>
            </w:pPr>
            <w:r>
              <w:rPr>
                <w:b/>
                <w:sz w:val="16"/>
              </w:rPr>
              <w:t>Included in FLM Monthly Retainer / Per Site-Month</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Monthly in arrears.</w:t>
            </w:r>
          </w:p>
        </w:tc>
        <w:tc>
          <w:tcPr>
            <w:tcW w:type="dxa" w:w="994"/>
            <w:tcMar>
              <w:top w:w="80" w:type="dxa"/>
              <w:bottom w:w="80" w:type="dxa"/>
              <w:left w:w="80" w:type="dxa"/>
              <w:right w:w="80" w:type="dxa"/>
            </w:tcMar>
            <w:vAlign w:val="center"/>
          </w:tcPr>
          <w:p>
            <w:r>
              <w:rPr>
                <w:sz w:val="16"/>
              </w:rPr>
              <w:t>Passive Infrastructure Restoration Work Order</w:t>
            </w:r>
          </w:p>
        </w:tc>
      </w:tr>
      <w:tr>
        <w:tc>
          <w:tcPr>
            <w:tcW w:type="dxa" w:w="994"/>
            <w:tcMar>
              <w:top w:w="80" w:type="dxa"/>
              <w:bottom w:w="80" w:type="dxa"/>
              <w:left w:w="80" w:type="dxa"/>
              <w:right w:w="80" w:type="dxa"/>
            </w:tcMar>
            <w:vAlign w:val="center"/>
          </w:tcPr>
          <w:p>
            <w:pPr>
              <w:jc w:val="center"/>
            </w:pPr>
            <w:r>
              <w:rPr>
                <w:b/>
                <w:sz w:val="16"/>
              </w:rPr>
              <w:t>MS-FLM-04</w:t>
            </w:r>
          </w:p>
        </w:tc>
        <w:tc>
          <w:tcPr>
            <w:tcW w:type="dxa" w:w="994"/>
            <w:tcMar>
              <w:top w:w="80" w:type="dxa"/>
              <w:bottom w:w="80" w:type="dxa"/>
              <w:left w:w="80" w:type="dxa"/>
              <w:right w:w="80" w:type="dxa"/>
            </w:tcMar>
            <w:vAlign w:val="center"/>
          </w:tcPr>
          <w:p>
            <w:r>
              <w:rPr>
                <w:sz w:val="16"/>
              </w:rPr>
              <w:t>Emergency Fiber Backhaul Splicing &amp; Optical Link Restoration</w:t>
            </w:r>
          </w:p>
        </w:tc>
        <w:tc>
          <w:tcPr>
            <w:tcW w:type="dxa" w:w="994"/>
            <w:tcMar>
              <w:top w:w="80" w:type="dxa"/>
              <w:bottom w:w="80" w:type="dxa"/>
              <w:left w:w="80" w:type="dxa"/>
              <w:right w:w="80" w:type="dxa"/>
            </w:tcMar>
            <w:vAlign w:val="center"/>
          </w:tcPr>
          <w:p>
            <w:r>
              <w:rPr>
                <w:sz w:val="16"/>
              </w:rPr>
              <w:t>Emergency mobilization for fiber transmission outages: OTDR optical fault localization, optical cable drop replacement, mechanical or fusion splicing, and optical splice enclosure re-sealing to restore backhaul transport within mandated MTTR.</w:t>
              <w:br/>
              <w:t>• Inclusions: OTDR fault tracing, fusion splicing labor, splice enclosure resealing, link test.</w:t>
              <w:br/>
              <w:t>• Exclusions: Major fiber spans exceeding 500 meters (governed by Call-Out Rate Card).</w:t>
            </w:r>
          </w:p>
        </w:tc>
        <w:tc>
          <w:tcPr>
            <w:tcW w:type="dxa" w:w="994"/>
            <w:tcMar>
              <w:top w:w="80" w:type="dxa"/>
              <w:bottom w:w="80" w:type="dxa"/>
              <w:left w:w="80" w:type="dxa"/>
              <w:right w:w="80" w:type="dxa"/>
            </w:tcMar>
            <w:vAlign w:val="center"/>
          </w:tcPr>
          <w:p>
            <w:pPr>
              <w:jc w:val="center"/>
            </w:pPr>
            <w:r>
              <w:rPr>
                <w:b/>
                <w:sz w:val="16"/>
              </w:rPr>
              <w:t>Included in FLM Monthly Retainer / Per Site-Month</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Monthly in arrears.</w:t>
            </w:r>
          </w:p>
        </w:tc>
        <w:tc>
          <w:tcPr>
            <w:tcW w:type="dxa" w:w="994"/>
            <w:tcMar>
              <w:top w:w="80" w:type="dxa"/>
              <w:bottom w:w="80" w:type="dxa"/>
              <w:left w:w="80" w:type="dxa"/>
              <w:right w:w="80" w:type="dxa"/>
            </w:tcMar>
            <w:vAlign w:val="center"/>
          </w:tcPr>
          <w:p>
            <w:r>
              <w:rPr>
                <w:sz w:val="16"/>
              </w:rPr>
              <w:t>Optical OTDR Trace Report &amp; Splicing Restoration Certificate</w:t>
            </w:r>
          </w:p>
        </w:tc>
      </w:tr>
      <w:tr>
        <w:tc>
          <w:tcPr>
            <w:tcW w:type="dxa" w:w="994"/>
            <w:tcMar>
              <w:top w:w="80" w:type="dxa"/>
              <w:bottom w:w="80" w:type="dxa"/>
              <w:left w:w="80" w:type="dxa"/>
              <w:right w:w="80" w:type="dxa"/>
            </w:tcMar>
            <w:vAlign w:val="center"/>
          </w:tcPr>
          <w:p>
            <w:pPr>
              <w:jc w:val="center"/>
            </w:pPr>
            <w:r>
              <w:rPr>
                <w:b/>
                <w:sz w:val="16"/>
              </w:rPr>
              <w:t>MS-PM-01</w:t>
            </w:r>
          </w:p>
        </w:tc>
        <w:tc>
          <w:tcPr>
            <w:tcW w:type="dxa" w:w="994"/>
            <w:tcMar>
              <w:top w:w="80" w:type="dxa"/>
              <w:bottom w:w="80" w:type="dxa"/>
              <w:left w:w="80" w:type="dxa"/>
              <w:right w:w="80" w:type="dxa"/>
            </w:tcMar>
            <w:vAlign w:val="center"/>
          </w:tcPr>
          <w:p>
            <w:r>
              <w:rPr>
                <w:sz w:val="16"/>
              </w:rPr>
              <w:t>Quarterly Telecom Equipment Preventive Maintenance (Module A)</w:t>
            </w:r>
          </w:p>
        </w:tc>
        <w:tc>
          <w:tcPr>
            <w:tcW w:type="dxa" w:w="994"/>
            <w:tcMar>
              <w:top w:w="80" w:type="dxa"/>
              <w:bottom w:w="80" w:type="dxa"/>
              <w:left w:w="80" w:type="dxa"/>
              <w:right w:w="80" w:type="dxa"/>
            </w:tcMar>
            <w:vAlign w:val="center"/>
          </w:tcPr>
          <w:p>
            <w:r>
              <w:rPr>
                <w:sz w:val="16"/>
              </w:rPr>
              <w:t>Execution of 100% quarterly routine telecom PM: visual inspection of BBU/RRU chassis, optical fiber connector cleaning and inspection, RF jumper weatherproofing boot inspection, cable clamp torque verification, optical SFP power level verification, and dust filter cleaning.</w:t>
              <w:br/>
              <w:t>• Inclusions: Quarterly on-site inspection, connector cleaning, weatherproofing audit, SFP level audit, PM report.</w:t>
              <w:br/>
              <w:t>• Exclusions: Major equipment overhaul.</w:t>
            </w:r>
          </w:p>
        </w:tc>
        <w:tc>
          <w:tcPr>
            <w:tcW w:type="dxa" w:w="994"/>
            <w:tcMar>
              <w:top w:w="80" w:type="dxa"/>
              <w:bottom w:w="80" w:type="dxa"/>
              <w:left w:w="80" w:type="dxa"/>
              <w:right w:w="80" w:type="dxa"/>
            </w:tcMar>
            <w:vAlign w:val="center"/>
          </w:tcPr>
          <w:p>
            <w:pPr>
              <w:jc w:val="center"/>
            </w:pPr>
            <w:r>
              <w:rPr>
                <w:b/>
                <w:sz w:val="16"/>
              </w:rPr>
              <w:t>Per Site / Quarter (or Monthly share)</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Quarterly upon submission of 100% PM checklists and mobile audit photos.</w:t>
            </w:r>
          </w:p>
        </w:tc>
        <w:tc>
          <w:tcPr>
            <w:tcW w:type="dxa" w:w="994"/>
            <w:tcMar>
              <w:top w:w="80" w:type="dxa"/>
              <w:bottom w:w="80" w:type="dxa"/>
              <w:left w:w="80" w:type="dxa"/>
              <w:right w:w="80" w:type="dxa"/>
            </w:tcMar>
            <w:vAlign w:val="center"/>
          </w:tcPr>
          <w:p>
            <w:r>
              <w:rPr>
                <w:sz w:val="16"/>
              </w:rPr>
              <w:t>Quarterly Telecom PM Report &amp; Mobile App Timestamped Audit Dossier</w:t>
            </w:r>
          </w:p>
        </w:tc>
      </w:tr>
      <w:tr>
        <w:tc>
          <w:tcPr>
            <w:tcW w:type="dxa" w:w="994"/>
            <w:tcMar>
              <w:top w:w="80" w:type="dxa"/>
              <w:bottom w:w="80" w:type="dxa"/>
              <w:left w:w="80" w:type="dxa"/>
              <w:right w:w="80" w:type="dxa"/>
            </w:tcMar>
            <w:vAlign w:val="center"/>
          </w:tcPr>
          <w:p>
            <w:pPr>
              <w:jc w:val="center"/>
            </w:pPr>
            <w:r>
              <w:rPr>
                <w:b/>
                <w:sz w:val="16"/>
              </w:rPr>
              <w:t>MS-PM-02</w:t>
            </w:r>
          </w:p>
        </w:tc>
        <w:tc>
          <w:tcPr>
            <w:tcW w:type="dxa" w:w="994"/>
            <w:tcMar>
              <w:top w:w="80" w:type="dxa"/>
              <w:bottom w:w="80" w:type="dxa"/>
              <w:left w:w="80" w:type="dxa"/>
              <w:right w:w="80" w:type="dxa"/>
            </w:tcMar>
            <w:vAlign w:val="center"/>
          </w:tcPr>
          <w:p>
            <w:r>
              <w:rPr>
                <w:sz w:val="16"/>
              </w:rPr>
              <w:t>Quarterly DC Power &amp; LiFePO4 Battery PM (Module B)</w:t>
            </w:r>
          </w:p>
        </w:tc>
        <w:tc>
          <w:tcPr>
            <w:tcW w:type="dxa" w:w="994"/>
            <w:tcMar>
              <w:top w:w="80" w:type="dxa"/>
              <w:bottom w:w="80" w:type="dxa"/>
              <w:left w:w="80" w:type="dxa"/>
              <w:right w:w="80" w:type="dxa"/>
            </w:tcMar>
            <w:vAlign w:val="center"/>
          </w:tcPr>
          <w:p>
            <w:r>
              <w:rPr>
                <w:sz w:val="16"/>
              </w:rPr>
              <w:t>Comprehensive quarterly electrical PM: rectifier module load sharing verification, DC output float/equalize voltage calibration, terminal screw torque verification, LiFePO4 battery BMS diagnostic sweep, cell voltage and internal resistance measurement, and 1-hour controlled battery discharge autonomy test under load.</w:t>
              <w:br/>
              <w:t>• Inclusions: Rectifier calibration, BMS diagnostic sweep, internal resistance test, 1-hour load test.</w:t>
              <w:br/>
              <w:t>• Exclusions: Battery module replacement (handled under RMA / Spares float).</w:t>
            </w:r>
          </w:p>
        </w:tc>
        <w:tc>
          <w:tcPr>
            <w:tcW w:type="dxa" w:w="994"/>
            <w:tcMar>
              <w:top w:w="80" w:type="dxa"/>
              <w:bottom w:w="80" w:type="dxa"/>
              <w:left w:w="80" w:type="dxa"/>
              <w:right w:w="80" w:type="dxa"/>
            </w:tcMar>
            <w:vAlign w:val="center"/>
          </w:tcPr>
          <w:p>
            <w:pPr>
              <w:jc w:val="center"/>
            </w:pPr>
            <w:r>
              <w:rPr>
                <w:b/>
                <w:sz w:val="16"/>
              </w:rPr>
              <w:t>Per Site / Quarter</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Quarterly upon submission of Battery Health Dossier.</w:t>
            </w:r>
          </w:p>
        </w:tc>
        <w:tc>
          <w:tcPr>
            <w:tcW w:type="dxa" w:w="994"/>
            <w:tcMar>
              <w:top w:w="80" w:type="dxa"/>
              <w:bottom w:w="80" w:type="dxa"/>
              <w:left w:w="80" w:type="dxa"/>
              <w:right w:w="80" w:type="dxa"/>
            </w:tcMar>
            <w:vAlign w:val="center"/>
          </w:tcPr>
          <w:p>
            <w:r>
              <w:rPr>
                <w:sz w:val="16"/>
              </w:rPr>
              <w:t>DC Power &amp; Battery PM Audit Report + Cell Health Telemetry</w:t>
            </w:r>
          </w:p>
        </w:tc>
      </w:tr>
      <w:tr>
        <w:tc>
          <w:tcPr>
            <w:tcW w:type="dxa" w:w="994"/>
            <w:tcMar>
              <w:top w:w="80" w:type="dxa"/>
              <w:bottom w:w="80" w:type="dxa"/>
              <w:left w:w="80" w:type="dxa"/>
              <w:right w:w="80" w:type="dxa"/>
            </w:tcMar>
            <w:vAlign w:val="center"/>
          </w:tcPr>
          <w:p>
            <w:pPr>
              <w:jc w:val="center"/>
            </w:pPr>
            <w:r>
              <w:rPr>
                <w:b/>
                <w:sz w:val="16"/>
              </w:rPr>
              <w:t>MS-PM-03</w:t>
            </w:r>
          </w:p>
        </w:tc>
        <w:tc>
          <w:tcPr>
            <w:tcW w:type="dxa" w:w="994"/>
            <w:tcMar>
              <w:top w:w="80" w:type="dxa"/>
              <w:bottom w:w="80" w:type="dxa"/>
              <w:left w:w="80" w:type="dxa"/>
              <w:right w:w="80" w:type="dxa"/>
            </w:tcMar>
            <w:vAlign w:val="center"/>
          </w:tcPr>
          <w:p>
            <w:r>
              <w:rPr>
                <w:sz w:val="16"/>
              </w:rPr>
              <w:t>Quarterly Earth Grounding &amp; Lightning Protection Audit (Module C)</w:t>
            </w:r>
          </w:p>
        </w:tc>
        <w:tc>
          <w:tcPr>
            <w:tcW w:type="dxa" w:w="994"/>
            <w:tcMar>
              <w:top w:w="80" w:type="dxa"/>
              <w:bottom w:w="80" w:type="dxa"/>
              <w:left w:w="80" w:type="dxa"/>
              <w:right w:w="80" w:type="dxa"/>
            </w:tcMar>
            <w:vAlign w:val="center"/>
          </w:tcPr>
          <w:p>
            <w:r>
              <w:rPr>
                <w:sz w:val="16"/>
              </w:rPr>
              <w:t>Precision ground resistance audit using 3-point fall-of-potential test instrument (confirming earth ground resistance &lt;= 5.0 Ohms); Cadweld connection inspection; copper busbar bolt torque check; corrosion audit; and inspection of air terminals, down-conductors, and surge arresters.</w:t>
              <w:br/>
              <w:t>• Inclusions: 3-point fall-of-potential test, Cadweld check, busbar torque check, lightning arrester audit.</w:t>
              <w:br/>
              <w:t>• Exclusions: Civil construction of new ground ring (if soil conditions deteriorate; governed by civil rate card).</w:t>
            </w:r>
          </w:p>
        </w:tc>
        <w:tc>
          <w:tcPr>
            <w:tcW w:type="dxa" w:w="994"/>
            <w:tcMar>
              <w:top w:w="80" w:type="dxa"/>
              <w:bottom w:w="80" w:type="dxa"/>
              <w:left w:w="80" w:type="dxa"/>
              <w:right w:w="80" w:type="dxa"/>
            </w:tcMar>
            <w:vAlign w:val="center"/>
          </w:tcPr>
          <w:p>
            <w:pPr>
              <w:jc w:val="center"/>
            </w:pPr>
            <w:r>
              <w:rPr>
                <w:b/>
                <w:sz w:val="16"/>
              </w:rPr>
              <w:t>Per Site / Quarter</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Quarterly upon submission of Grounding Audit Report.</w:t>
            </w:r>
          </w:p>
        </w:tc>
        <w:tc>
          <w:tcPr>
            <w:tcW w:type="dxa" w:w="994"/>
            <w:tcMar>
              <w:top w:w="80" w:type="dxa"/>
              <w:bottom w:w="80" w:type="dxa"/>
              <w:left w:w="80" w:type="dxa"/>
              <w:right w:w="80" w:type="dxa"/>
            </w:tcMar>
            <w:vAlign w:val="center"/>
          </w:tcPr>
          <w:p>
            <w:r>
              <w:rPr>
                <w:sz w:val="16"/>
              </w:rPr>
              <w:t>Earth Ground Resistance Test Certificate with Instrument Calibration Tag</w:t>
            </w:r>
          </w:p>
        </w:tc>
      </w:tr>
      <w:tr>
        <w:tc>
          <w:tcPr>
            <w:tcW w:type="dxa" w:w="994"/>
            <w:tcMar>
              <w:top w:w="80" w:type="dxa"/>
              <w:bottom w:w="80" w:type="dxa"/>
              <w:left w:w="80" w:type="dxa"/>
              <w:right w:w="80" w:type="dxa"/>
            </w:tcMar>
            <w:vAlign w:val="center"/>
          </w:tcPr>
          <w:p>
            <w:pPr>
              <w:jc w:val="center"/>
            </w:pPr>
            <w:r>
              <w:rPr>
                <w:b/>
                <w:sz w:val="16"/>
              </w:rPr>
              <w:t>MS-PM-04</w:t>
            </w:r>
          </w:p>
        </w:tc>
        <w:tc>
          <w:tcPr>
            <w:tcW w:type="dxa" w:w="994"/>
            <w:tcMar>
              <w:top w:w="80" w:type="dxa"/>
              <w:bottom w:w="80" w:type="dxa"/>
              <w:left w:w="80" w:type="dxa"/>
              <w:right w:w="80" w:type="dxa"/>
            </w:tcMar>
            <w:vAlign w:val="center"/>
          </w:tcPr>
          <w:p>
            <w:r>
              <w:rPr>
                <w:sz w:val="16"/>
              </w:rPr>
              <w:t>Bi-Annual Tower Structure, Rigging &amp; Aviation Light Audit (Module D)</w:t>
            </w:r>
          </w:p>
        </w:tc>
        <w:tc>
          <w:tcPr>
            <w:tcW w:type="dxa" w:w="994"/>
            <w:tcMar>
              <w:top w:w="80" w:type="dxa"/>
              <w:bottom w:w="80" w:type="dxa"/>
              <w:left w:w="80" w:type="dxa"/>
              <w:right w:w="80" w:type="dxa"/>
            </w:tcMar>
            <w:vAlign w:val="center"/>
          </w:tcPr>
          <w:p>
            <w:r>
              <w:rPr>
                <w:sz w:val="16"/>
              </w:rPr>
              <w:t>Specialized climbing inspection conducted twice per year: physical inspection of tower steel members, monopole climbing ladder, fall arrest cable, AMB mounting bracket bolt torque verification, antenna azimuth/tilt physical check, cable ladder clamping check, and inspection of CAAP-compliant aviation obstruction light and photocell controller.</w:t>
              <w:br/>
              <w:t>• Inclusions: Certified climbing riggers, structural member inspection, bolt torque audit, CAAP light audit.</w:t>
              <w:br/>
              <w:t>• Exclusions: Tower painting / rust rehabilitation (governed under civil facility maintenance).</w:t>
            </w:r>
          </w:p>
        </w:tc>
        <w:tc>
          <w:tcPr>
            <w:tcW w:type="dxa" w:w="994"/>
            <w:tcMar>
              <w:top w:w="80" w:type="dxa"/>
              <w:bottom w:w="80" w:type="dxa"/>
              <w:left w:w="80" w:type="dxa"/>
              <w:right w:w="80" w:type="dxa"/>
            </w:tcMar>
            <w:vAlign w:val="center"/>
          </w:tcPr>
          <w:p>
            <w:pPr>
              <w:jc w:val="center"/>
            </w:pPr>
            <w:r>
              <w:rPr>
                <w:b/>
                <w:sz w:val="16"/>
              </w:rPr>
              <w:t>Per Site / Semi-Annual</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Semi-annually upon submission of Tower Rigging Audit Report.</w:t>
            </w:r>
          </w:p>
        </w:tc>
        <w:tc>
          <w:tcPr>
            <w:tcW w:type="dxa" w:w="994"/>
            <w:tcMar>
              <w:top w:w="80" w:type="dxa"/>
              <w:bottom w:w="80" w:type="dxa"/>
              <w:left w:w="80" w:type="dxa"/>
              <w:right w:w="80" w:type="dxa"/>
            </w:tcMar>
            <w:vAlign w:val="center"/>
          </w:tcPr>
          <w:p>
            <w:r>
              <w:rPr>
                <w:sz w:val="16"/>
              </w:rPr>
              <w:t>Bi-Annual Tower Climbing &amp; Rigging Audit Report + High-Res Photos</w:t>
            </w:r>
          </w:p>
        </w:tc>
      </w:tr>
      <w:tr>
        <w:tc>
          <w:tcPr>
            <w:tcW w:type="dxa" w:w="994"/>
            <w:tcMar>
              <w:top w:w="80" w:type="dxa"/>
              <w:bottom w:w="80" w:type="dxa"/>
              <w:left w:w="80" w:type="dxa"/>
              <w:right w:w="80" w:type="dxa"/>
            </w:tcMar>
            <w:vAlign w:val="center"/>
          </w:tcPr>
          <w:p>
            <w:pPr>
              <w:jc w:val="center"/>
            </w:pPr>
            <w:r>
              <w:rPr>
                <w:b/>
                <w:sz w:val="16"/>
              </w:rPr>
              <w:t>MS-PM-05</w:t>
            </w:r>
          </w:p>
        </w:tc>
        <w:tc>
          <w:tcPr>
            <w:tcW w:type="dxa" w:w="994"/>
            <w:tcMar>
              <w:top w:w="80" w:type="dxa"/>
              <w:bottom w:w="80" w:type="dxa"/>
              <w:left w:w="80" w:type="dxa"/>
              <w:right w:w="80" w:type="dxa"/>
            </w:tcMar>
            <w:vAlign w:val="center"/>
          </w:tcPr>
          <w:p>
            <w:r>
              <w:rPr>
                <w:sz w:val="16"/>
              </w:rPr>
              <w:t>Quarterly Site Compound, Civil &amp; Environmental Upkeep (Module E)</w:t>
            </w:r>
          </w:p>
        </w:tc>
        <w:tc>
          <w:tcPr>
            <w:tcW w:type="dxa" w:w="994"/>
            <w:tcMar>
              <w:top w:w="80" w:type="dxa"/>
              <w:bottom w:w="80" w:type="dxa"/>
              <w:left w:w="80" w:type="dxa"/>
              <w:right w:w="80" w:type="dxa"/>
            </w:tcMar>
            <w:vAlign w:val="center"/>
          </w:tcPr>
          <w:p>
            <w:r>
              <w:rPr>
                <w:sz w:val="16"/>
              </w:rPr>
              <w:t>Routine civil compound maintenance: inspection and repair of chain-link perimeter fencing and barbed wire; greasing and servicing gate locking mechanisms; weed cutting, vegetation clearance, and chemical weed-killing within a 3-meter perimeter of compound; drainage channel clearing; and pest/rodent proofing of equipment cabinet cable entries.</w:t>
              <w:br/>
              <w:t>• Inclusions: Compound weeding, perimeter clearing, fence repair, lock lubrication, cable entry pest sealing.</w:t>
              <w:br/>
              <w:t>• Exclusions: Major civil perimeter wall re-construction post-landslide.</w:t>
            </w:r>
          </w:p>
        </w:tc>
        <w:tc>
          <w:tcPr>
            <w:tcW w:type="dxa" w:w="994"/>
            <w:tcMar>
              <w:top w:w="80" w:type="dxa"/>
              <w:bottom w:w="80" w:type="dxa"/>
              <w:left w:w="80" w:type="dxa"/>
              <w:right w:w="80" w:type="dxa"/>
            </w:tcMar>
            <w:vAlign w:val="center"/>
          </w:tcPr>
          <w:p>
            <w:pPr>
              <w:jc w:val="center"/>
            </w:pPr>
            <w:r>
              <w:rPr>
                <w:b/>
                <w:sz w:val="16"/>
              </w:rPr>
              <w:t>Per Site / Quarter</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Quarterly upon compound inspection sign-off.</w:t>
            </w:r>
          </w:p>
        </w:tc>
        <w:tc>
          <w:tcPr>
            <w:tcW w:type="dxa" w:w="994"/>
            <w:tcMar>
              <w:top w:w="80" w:type="dxa"/>
              <w:bottom w:w="80" w:type="dxa"/>
              <w:left w:w="80" w:type="dxa"/>
              <w:right w:w="80" w:type="dxa"/>
            </w:tcMar>
            <w:vAlign w:val="center"/>
          </w:tcPr>
          <w:p>
            <w:r>
              <w:rPr>
                <w:sz w:val="16"/>
              </w:rPr>
              <w:t>Compound Upkeep Audit Checklist &amp; Before/After Photos</w:t>
            </w:r>
          </w:p>
        </w:tc>
      </w:tr>
      <w:tr>
        <w:tc>
          <w:tcPr>
            <w:tcW w:type="dxa" w:w="994"/>
            <w:tcMar>
              <w:top w:w="80" w:type="dxa"/>
              <w:bottom w:w="80" w:type="dxa"/>
              <w:left w:w="80" w:type="dxa"/>
              <w:right w:w="80" w:type="dxa"/>
            </w:tcMar>
            <w:vAlign w:val="center"/>
          </w:tcPr>
          <w:p>
            <w:pPr>
              <w:jc w:val="center"/>
            </w:pPr>
            <w:r>
              <w:rPr>
                <w:b/>
                <w:sz w:val="16"/>
              </w:rPr>
              <w:t>MS-SPM-01</w:t>
            </w:r>
          </w:p>
        </w:tc>
        <w:tc>
          <w:tcPr>
            <w:tcW w:type="dxa" w:w="994"/>
            <w:tcMar>
              <w:top w:w="80" w:type="dxa"/>
              <w:bottom w:w="80" w:type="dxa"/>
              <w:left w:w="80" w:type="dxa"/>
              <w:right w:w="80" w:type="dxa"/>
            </w:tcMar>
            <w:vAlign w:val="center"/>
          </w:tcPr>
          <w:p>
            <w:r>
              <w:rPr>
                <w:sz w:val="16"/>
              </w:rPr>
              <w:t>Regional Spare Parts Buffer Float Management (SPMS)</w:t>
            </w:r>
          </w:p>
        </w:tc>
        <w:tc>
          <w:tcPr>
            <w:tcW w:type="dxa" w:w="994"/>
            <w:tcMar>
              <w:top w:w="80" w:type="dxa"/>
              <w:bottom w:w="80" w:type="dxa"/>
              <w:left w:w="80" w:type="dxa"/>
              <w:right w:w="80" w:type="dxa"/>
            </w:tcMar>
            <w:vAlign w:val="center"/>
          </w:tcPr>
          <w:p>
            <w:r>
              <w:rPr>
                <w:sz w:val="16"/>
              </w:rPr>
              <w:t>Operation of climate-controlled, secure regional spare parts depots (Mega Manila, North Luzon, South Luzon, Visayas, Mindanao); managing and maintaining an agreed 2.0% active hardware spares float (BBUs, RRUs, SFPs, rectifiers, batteries, cables); tracking serial numbers via WMS; and conducting monthly physical cycle counts.</w:t>
              <w:br/>
              <w:t>• Inclusions: Regional storage depots, inventory management, serialized tracking, monthly cycle counts.</w:t>
              <w:br/>
              <w:t>• Exclusions: Procurement of additional replacement spares beyond contractual float (Operator capex).</w:t>
            </w:r>
          </w:p>
        </w:tc>
        <w:tc>
          <w:tcPr>
            <w:tcW w:type="dxa" w:w="994"/>
            <w:tcMar>
              <w:top w:w="80" w:type="dxa"/>
              <w:bottom w:w="80" w:type="dxa"/>
              <w:left w:w="80" w:type="dxa"/>
              <w:right w:w="80" w:type="dxa"/>
            </w:tcMar>
            <w:vAlign w:val="center"/>
          </w:tcPr>
          <w:p>
            <w:pPr>
              <w:jc w:val="center"/>
            </w:pPr>
            <w:r>
              <w:rPr>
                <w:b/>
                <w:sz w:val="16"/>
              </w:rPr>
              <w:t>Per Site / Month</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Monthly in arrears.</w:t>
            </w:r>
          </w:p>
        </w:tc>
        <w:tc>
          <w:tcPr>
            <w:tcW w:type="dxa" w:w="994"/>
            <w:tcMar>
              <w:top w:w="80" w:type="dxa"/>
              <w:bottom w:w="80" w:type="dxa"/>
              <w:left w:w="80" w:type="dxa"/>
              <w:right w:w="80" w:type="dxa"/>
            </w:tcMar>
            <w:vAlign w:val="center"/>
          </w:tcPr>
          <w:p>
            <w:r>
              <w:rPr>
                <w:sz w:val="16"/>
              </w:rPr>
              <w:t>Monthly Spare Parts Float Status Report &amp; Cycle Count Audit</w:t>
            </w:r>
          </w:p>
        </w:tc>
      </w:tr>
      <w:tr>
        <w:tc>
          <w:tcPr>
            <w:tcW w:type="dxa" w:w="994"/>
            <w:tcMar>
              <w:top w:w="80" w:type="dxa"/>
              <w:bottom w:w="80" w:type="dxa"/>
              <w:left w:w="80" w:type="dxa"/>
              <w:right w:w="80" w:type="dxa"/>
            </w:tcMar>
            <w:vAlign w:val="center"/>
          </w:tcPr>
          <w:p>
            <w:pPr>
              <w:jc w:val="center"/>
            </w:pPr>
            <w:r>
              <w:rPr>
                <w:b/>
                <w:sz w:val="16"/>
              </w:rPr>
              <w:t>MS-SPM-02</w:t>
            </w:r>
          </w:p>
        </w:tc>
        <w:tc>
          <w:tcPr>
            <w:tcW w:type="dxa" w:w="994"/>
            <w:tcMar>
              <w:top w:w="80" w:type="dxa"/>
              <w:bottom w:w="80" w:type="dxa"/>
              <w:left w:w="80" w:type="dxa"/>
              <w:right w:w="80" w:type="dxa"/>
            </w:tcMar>
            <w:vAlign w:val="center"/>
          </w:tcPr>
          <w:p>
            <w:r>
              <w:rPr>
                <w:sz w:val="16"/>
              </w:rPr>
              <w:t>Advance Hardware Replacement (AHR) &amp; Expedited Field Delivery</w:t>
            </w:r>
          </w:p>
        </w:tc>
        <w:tc>
          <w:tcPr>
            <w:tcW w:type="dxa" w:w="994"/>
            <w:tcMar>
              <w:top w:w="80" w:type="dxa"/>
              <w:bottom w:w="80" w:type="dxa"/>
              <w:left w:w="80" w:type="dxa"/>
              <w:right w:w="80" w:type="dxa"/>
            </w:tcMar>
            <w:vAlign w:val="center"/>
          </w:tcPr>
          <w:p>
            <w:r>
              <w:rPr>
                <w:sz w:val="16"/>
              </w:rPr>
              <w:t>Rapid logistics dispatch delivering replacement hardware to field maintenance crews: Next-Business-Day (NBD) standard delivery nationwide, or expedited 4-hour emergency delivery for major macro hubs and critical transmission nodes.</w:t>
              <w:br/>
              <w:t>• Inclusions: Expedited dispatch, emergency courier, chain of custody documentation, field delivery receipt.</w:t>
              <w:br/>
              <w:t>• Exclusions: Standard scheduled routine replenishment.</w:t>
            </w:r>
          </w:p>
        </w:tc>
        <w:tc>
          <w:tcPr>
            <w:tcW w:type="dxa" w:w="994"/>
            <w:tcMar>
              <w:top w:w="80" w:type="dxa"/>
              <w:bottom w:w="80" w:type="dxa"/>
              <w:left w:w="80" w:type="dxa"/>
              <w:right w:w="80" w:type="dxa"/>
            </w:tcMar>
            <w:vAlign w:val="center"/>
          </w:tcPr>
          <w:p>
            <w:pPr>
              <w:jc w:val="center"/>
            </w:pPr>
            <w:r>
              <w:rPr>
                <w:b/>
                <w:sz w:val="16"/>
              </w:rPr>
              <w:t>Included in SPM Retainer / Per Site-Month</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Monthly in arrears.</w:t>
            </w:r>
          </w:p>
        </w:tc>
        <w:tc>
          <w:tcPr>
            <w:tcW w:type="dxa" w:w="994"/>
            <w:tcMar>
              <w:top w:w="80" w:type="dxa"/>
              <w:bottom w:w="80" w:type="dxa"/>
              <w:left w:w="80" w:type="dxa"/>
              <w:right w:w="80" w:type="dxa"/>
            </w:tcMar>
            <w:vAlign w:val="center"/>
          </w:tcPr>
          <w:p>
            <w:r>
              <w:rPr>
                <w:sz w:val="16"/>
              </w:rPr>
              <w:t>Hardware Dispatch Manifest &amp; Proof of On-Site Delivery</w:t>
            </w:r>
          </w:p>
        </w:tc>
      </w:tr>
      <w:tr>
        <w:tc>
          <w:tcPr>
            <w:tcW w:type="dxa" w:w="994"/>
            <w:tcMar>
              <w:top w:w="80" w:type="dxa"/>
              <w:bottom w:w="80" w:type="dxa"/>
              <w:left w:w="80" w:type="dxa"/>
              <w:right w:w="80" w:type="dxa"/>
            </w:tcMar>
            <w:vAlign w:val="center"/>
          </w:tcPr>
          <w:p>
            <w:pPr>
              <w:jc w:val="center"/>
            </w:pPr>
            <w:r>
              <w:rPr>
                <w:b/>
                <w:sz w:val="16"/>
              </w:rPr>
              <w:t>MS-SPM-03</w:t>
            </w:r>
          </w:p>
        </w:tc>
        <w:tc>
          <w:tcPr>
            <w:tcW w:type="dxa" w:w="994"/>
            <w:tcMar>
              <w:top w:w="80" w:type="dxa"/>
              <w:bottom w:w="80" w:type="dxa"/>
              <w:left w:w="80" w:type="dxa"/>
              <w:right w:w="80" w:type="dxa"/>
            </w:tcMar>
            <w:vAlign w:val="center"/>
          </w:tcPr>
          <w:p>
            <w:r>
              <w:rPr>
                <w:sz w:val="16"/>
              </w:rPr>
              <w:t>Return Merchandise Authorization (RMA) &amp; OEM Factory Repair Logistics</w:t>
            </w:r>
          </w:p>
        </w:tc>
        <w:tc>
          <w:tcPr>
            <w:tcW w:type="dxa" w:w="994"/>
            <w:tcMar>
              <w:top w:w="80" w:type="dxa"/>
              <w:bottom w:w="80" w:type="dxa"/>
              <w:left w:w="80" w:type="dxa"/>
              <w:right w:w="80" w:type="dxa"/>
            </w:tcMar>
            <w:vAlign w:val="center"/>
          </w:tcPr>
          <w:p>
            <w:r>
              <w:rPr>
                <w:sz w:val="16"/>
              </w:rPr>
              <w:t>Managing the reverse logistics lifecycle for defective hardware: retrieving faulty units from field crews, conducting triage, generating RMA requests, managing packaging and export/import customs for OEM repair/replacement, tracking turnaround time (TAT &lt;= 30 calendar days), and returning repaired units to the regional buffer float.</w:t>
              <w:br/>
              <w:t>• Inclusions: Defective unit triage, RMA processing, shipping to OEM repair facility, tracking, customs clearance.</w:t>
              <w:br/>
              <w:t>• Exclusions: Out-of-warranty OEM repair billing charges (passed through at actual OEM repair cost).</w:t>
            </w:r>
          </w:p>
        </w:tc>
        <w:tc>
          <w:tcPr>
            <w:tcW w:type="dxa" w:w="994"/>
            <w:tcMar>
              <w:top w:w="80" w:type="dxa"/>
              <w:bottom w:w="80" w:type="dxa"/>
              <w:left w:w="80" w:type="dxa"/>
              <w:right w:w="80" w:type="dxa"/>
            </w:tcMar>
            <w:vAlign w:val="center"/>
          </w:tcPr>
          <w:p>
            <w:pPr>
              <w:jc w:val="center"/>
            </w:pPr>
            <w:r>
              <w:rPr>
                <w:b/>
                <w:sz w:val="16"/>
              </w:rPr>
              <w:t>Included in SPM Retainer / Per Site-Month</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Monthly in arrears.</w:t>
            </w:r>
          </w:p>
        </w:tc>
        <w:tc>
          <w:tcPr>
            <w:tcW w:type="dxa" w:w="994"/>
            <w:tcMar>
              <w:top w:w="80" w:type="dxa"/>
              <w:bottom w:w="80" w:type="dxa"/>
              <w:left w:w="80" w:type="dxa"/>
              <w:right w:w="80" w:type="dxa"/>
            </w:tcMar>
            <w:vAlign w:val="center"/>
          </w:tcPr>
          <w:p>
            <w:r>
              <w:rPr>
                <w:sz w:val="16"/>
              </w:rPr>
              <w:t>RMA Lifecycle Tracking Dossier &amp; OEM Repair Turnaround Log</w:t>
            </w:r>
          </w:p>
        </w:tc>
      </w:tr>
      <w:tr>
        <w:tc>
          <w:tcPr>
            <w:tcW w:type="dxa" w:w="994"/>
            <w:tcMar>
              <w:top w:w="80" w:type="dxa"/>
              <w:bottom w:w="80" w:type="dxa"/>
              <w:left w:w="80" w:type="dxa"/>
              <w:right w:w="80" w:type="dxa"/>
            </w:tcMar>
            <w:vAlign w:val="center"/>
          </w:tcPr>
          <w:p>
            <w:pPr>
              <w:jc w:val="center"/>
            </w:pPr>
            <w:r>
              <w:rPr>
                <w:b/>
                <w:sz w:val="16"/>
              </w:rPr>
              <w:t>MS-RNO-01</w:t>
            </w:r>
          </w:p>
        </w:tc>
        <w:tc>
          <w:tcPr>
            <w:tcW w:type="dxa" w:w="994"/>
            <w:tcMar>
              <w:top w:w="80" w:type="dxa"/>
              <w:bottom w:w="80" w:type="dxa"/>
              <w:left w:w="80" w:type="dxa"/>
              <w:right w:w="80" w:type="dxa"/>
            </w:tcMar>
            <w:vAlign w:val="center"/>
          </w:tcPr>
          <w:p>
            <w:r>
              <w:rPr>
                <w:sz w:val="16"/>
              </w:rPr>
              <w:t>Continuous Radio Network Optimization &amp; Weekly KPI Surveillance</w:t>
            </w:r>
          </w:p>
        </w:tc>
        <w:tc>
          <w:tcPr>
            <w:tcW w:type="dxa" w:w="994"/>
            <w:tcMar>
              <w:top w:w="80" w:type="dxa"/>
              <w:bottom w:w="80" w:type="dxa"/>
              <w:left w:w="80" w:type="dxa"/>
              <w:right w:w="80" w:type="dxa"/>
            </w:tcMar>
            <w:vAlign w:val="center"/>
          </w:tcPr>
          <w:p>
            <w:r>
              <w:rPr>
                <w:sz w:val="16"/>
              </w:rPr>
              <w:t>Ongoing network-wide RF quality surveillance: daily and weekly statistical KPI tracking (Radio Availability, CSSR, CDDR, average throughput, PRB utilization, cell-edge speeds); identification and root-cause analysis of Worst Performing Cells (WPC); dynamic parameter fine-tuning; and weekly optimization meetings.</w:t>
              <w:br/>
              <w:t>• Inclusions: Dedicated RF optimization engineers, weekly WPC triage, parameter tuning scripts, KPI governance.</w:t>
              <w:br/>
              <w:t>• Exclusions: Major network replanning requiring addition of new cell sites (expansion capex).</w:t>
            </w:r>
          </w:p>
        </w:tc>
        <w:tc>
          <w:tcPr>
            <w:tcW w:type="dxa" w:w="994"/>
            <w:tcMar>
              <w:top w:w="80" w:type="dxa"/>
              <w:bottom w:w="80" w:type="dxa"/>
              <w:left w:w="80" w:type="dxa"/>
              <w:right w:w="80" w:type="dxa"/>
            </w:tcMar>
            <w:vAlign w:val="center"/>
          </w:tcPr>
          <w:p>
            <w:pPr>
              <w:jc w:val="center"/>
            </w:pPr>
            <w:r>
              <w:rPr>
                <w:b/>
                <w:sz w:val="16"/>
              </w:rPr>
              <w:t>Per Site / Month</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Monthly in arrears.</w:t>
            </w:r>
          </w:p>
        </w:tc>
        <w:tc>
          <w:tcPr>
            <w:tcW w:type="dxa" w:w="994"/>
            <w:tcMar>
              <w:top w:w="80" w:type="dxa"/>
              <w:bottom w:w="80" w:type="dxa"/>
              <w:left w:w="80" w:type="dxa"/>
              <w:right w:w="80" w:type="dxa"/>
            </w:tcMar>
            <w:vAlign w:val="center"/>
          </w:tcPr>
          <w:p>
            <w:r>
              <w:rPr>
                <w:sz w:val="16"/>
              </w:rPr>
              <w:t>Weekly Worst Performing Cell (WPC) Report &amp; Monthly Network KPI Dossier</w:t>
            </w:r>
          </w:p>
        </w:tc>
      </w:tr>
      <w:tr>
        <w:tc>
          <w:tcPr>
            <w:tcW w:type="dxa" w:w="994"/>
            <w:tcMar>
              <w:top w:w="80" w:type="dxa"/>
              <w:bottom w:w="80" w:type="dxa"/>
              <w:left w:w="80" w:type="dxa"/>
              <w:right w:w="80" w:type="dxa"/>
            </w:tcMar>
            <w:vAlign w:val="center"/>
          </w:tcPr>
          <w:p>
            <w:pPr>
              <w:jc w:val="center"/>
            </w:pPr>
            <w:r>
              <w:rPr>
                <w:b/>
                <w:sz w:val="16"/>
              </w:rPr>
              <w:t>MS-RNO-02</w:t>
            </w:r>
          </w:p>
        </w:tc>
        <w:tc>
          <w:tcPr>
            <w:tcW w:type="dxa" w:w="994"/>
            <w:tcMar>
              <w:top w:w="80" w:type="dxa"/>
              <w:bottom w:w="80" w:type="dxa"/>
              <w:left w:w="80" w:type="dxa"/>
              <w:right w:w="80" w:type="dxa"/>
            </w:tcMar>
            <w:vAlign w:val="center"/>
          </w:tcPr>
          <w:p>
            <w:r>
              <w:rPr>
                <w:sz w:val="16"/>
              </w:rPr>
              <w:t>Interference Hunting, PIM Mitigation &amp; Customer Complaint Field Audit</w:t>
            </w:r>
          </w:p>
        </w:tc>
        <w:tc>
          <w:tcPr>
            <w:tcW w:type="dxa" w:w="994"/>
            <w:tcMar>
              <w:top w:w="80" w:type="dxa"/>
              <w:bottom w:w="80" w:type="dxa"/>
              <w:left w:w="80" w:type="dxa"/>
              <w:right w:w="80" w:type="dxa"/>
            </w:tcMar>
            <w:vAlign w:val="center"/>
          </w:tcPr>
          <w:p>
            <w:r>
              <w:rPr>
                <w:sz w:val="16"/>
              </w:rPr>
              <w:t>Field RF investigation for degraded sectors: spectrum analyzer sweeps to detect and locate external interference sources (jamming, unauthorized boosters, microwave leakage); Passive Intermodulation (PIM) testing and remediation on antenna lines; and on-site drive validation for VIP or high-churn barangay clusters.</w:t>
              <w:br/>
              <w:t>• Inclusions: Spectrum analyzer field sweeps, PIM testing, interference source triangulation, customer complaint verification.</w:t>
              <w:br/>
              <w:t>• Exclusions: Legal action against illegal booster operators (handled by NTC / Operator Legal).</w:t>
            </w:r>
          </w:p>
        </w:tc>
        <w:tc>
          <w:tcPr>
            <w:tcW w:type="dxa" w:w="994"/>
            <w:tcMar>
              <w:top w:w="80" w:type="dxa"/>
              <w:bottom w:w="80" w:type="dxa"/>
              <w:left w:w="80" w:type="dxa"/>
              <w:right w:w="80" w:type="dxa"/>
            </w:tcMar>
            <w:vAlign w:val="center"/>
          </w:tcPr>
          <w:p>
            <w:pPr>
              <w:jc w:val="center"/>
            </w:pPr>
            <w:r>
              <w:rPr>
                <w:b/>
                <w:sz w:val="16"/>
              </w:rPr>
              <w:t>Per Site / Month</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Monthly in arrears.</w:t>
            </w:r>
          </w:p>
        </w:tc>
        <w:tc>
          <w:tcPr>
            <w:tcW w:type="dxa" w:w="994"/>
            <w:tcMar>
              <w:top w:w="80" w:type="dxa"/>
              <w:bottom w:w="80" w:type="dxa"/>
              <w:left w:w="80" w:type="dxa"/>
              <w:right w:w="80" w:type="dxa"/>
            </w:tcMar>
            <w:vAlign w:val="center"/>
          </w:tcPr>
          <w:p>
            <w:r>
              <w:rPr>
                <w:sz w:val="16"/>
              </w:rPr>
              <w:t>Interference Investigation Dossier &amp; Spectrum Sweep Traces</w:t>
            </w:r>
          </w:p>
        </w:tc>
      </w:tr>
      <w:tr>
        <w:tc>
          <w:tcPr>
            <w:tcW w:type="dxa" w:w="994"/>
            <w:tcMar>
              <w:top w:w="80" w:type="dxa"/>
              <w:bottom w:w="80" w:type="dxa"/>
              <w:left w:w="80" w:type="dxa"/>
              <w:right w:w="80" w:type="dxa"/>
            </w:tcMar>
            <w:vAlign w:val="center"/>
          </w:tcPr>
          <w:p>
            <w:pPr>
              <w:jc w:val="center"/>
            </w:pPr>
            <w:r>
              <w:rPr>
                <w:b/>
                <w:sz w:val="16"/>
              </w:rPr>
              <w:t>MS-FAC-01</w:t>
            </w:r>
          </w:p>
        </w:tc>
        <w:tc>
          <w:tcPr>
            <w:tcW w:type="dxa" w:w="994"/>
            <w:tcMar>
              <w:top w:w="80" w:type="dxa"/>
              <w:bottom w:w="80" w:type="dxa"/>
              <w:left w:w="80" w:type="dxa"/>
              <w:right w:w="80" w:type="dxa"/>
            </w:tcMar>
            <w:vAlign w:val="center"/>
          </w:tcPr>
          <w:p>
            <w:r>
              <w:rPr>
                <w:sz w:val="16"/>
              </w:rPr>
              <w:t>Passive Tower &amp; Civil Facility Maintenance</w:t>
            </w:r>
          </w:p>
        </w:tc>
        <w:tc>
          <w:tcPr>
            <w:tcW w:type="dxa" w:w="994"/>
            <w:tcMar>
              <w:top w:w="80" w:type="dxa"/>
              <w:bottom w:w="80" w:type="dxa"/>
              <w:left w:w="80" w:type="dxa"/>
              <w:right w:w="80" w:type="dxa"/>
            </w:tcMar>
            <w:vAlign w:val="center"/>
          </w:tcPr>
          <w:p>
            <w:r>
              <w:rPr>
                <w:sz w:val="16"/>
              </w:rPr>
              <w:t>Structural preservation of passive site assets: rust scraping, cold galvanizing compound application, and repainting of steel members in corrosive/coastal environments; repairing cracked equipment plinths; re-caulking cable entry boots; and maintaining access road drainage and clear-way.</w:t>
              <w:br/>
              <w:t>• Inclusions: Anti-corrosion touch-up, cold galvanizing, plinth crack sealing, cable entry maintenance.</w:t>
              <w:br/>
              <w:t>• Exclusions: Full tower structural re-erection post-catastrophic failure.</w:t>
            </w:r>
          </w:p>
        </w:tc>
        <w:tc>
          <w:tcPr>
            <w:tcW w:type="dxa" w:w="994"/>
            <w:tcMar>
              <w:top w:w="80" w:type="dxa"/>
              <w:bottom w:w="80" w:type="dxa"/>
              <w:left w:w="80" w:type="dxa"/>
              <w:right w:w="80" w:type="dxa"/>
            </w:tcMar>
            <w:vAlign w:val="center"/>
          </w:tcPr>
          <w:p>
            <w:pPr>
              <w:jc w:val="center"/>
            </w:pPr>
            <w:r>
              <w:rPr>
                <w:b/>
                <w:sz w:val="16"/>
              </w:rPr>
              <w:t>Per Site / Month</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Monthly in arrears.</w:t>
            </w:r>
          </w:p>
        </w:tc>
        <w:tc>
          <w:tcPr>
            <w:tcW w:type="dxa" w:w="994"/>
            <w:tcMar>
              <w:top w:w="80" w:type="dxa"/>
              <w:bottom w:w="80" w:type="dxa"/>
              <w:left w:w="80" w:type="dxa"/>
              <w:right w:w="80" w:type="dxa"/>
            </w:tcMar>
            <w:vAlign w:val="center"/>
          </w:tcPr>
          <w:p>
            <w:r>
              <w:rPr>
                <w:sz w:val="16"/>
              </w:rPr>
              <w:t>Monthly Facility Maintenance Log &amp; Civil Condition Report</w:t>
            </w:r>
          </w:p>
        </w:tc>
      </w:tr>
      <w:tr>
        <w:tc>
          <w:tcPr>
            <w:tcW w:type="dxa" w:w="994"/>
            <w:tcMar>
              <w:top w:w="80" w:type="dxa"/>
              <w:bottom w:w="80" w:type="dxa"/>
              <w:left w:w="80" w:type="dxa"/>
              <w:right w:w="80" w:type="dxa"/>
            </w:tcMar>
            <w:vAlign w:val="center"/>
          </w:tcPr>
          <w:p>
            <w:pPr>
              <w:jc w:val="center"/>
            </w:pPr>
            <w:r>
              <w:rPr>
                <w:b/>
                <w:sz w:val="16"/>
              </w:rPr>
              <w:t>MS-PWR-01</w:t>
            </w:r>
          </w:p>
        </w:tc>
        <w:tc>
          <w:tcPr>
            <w:tcW w:type="dxa" w:w="994"/>
            <w:tcMar>
              <w:top w:w="80" w:type="dxa"/>
              <w:bottom w:w="80" w:type="dxa"/>
              <w:left w:w="80" w:type="dxa"/>
              <w:right w:w="80" w:type="dxa"/>
            </w:tcMar>
            <w:vAlign w:val="center"/>
          </w:tcPr>
          <w:p>
            <w:r>
              <w:rPr>
                <w:sz w:val="16"/>
              </w:rPr>
              <w:t>Energy, Utility Grid (Meralco/Coop) Coordination &amp; Genset PM</w:t>
            </w:r>
          </w:p>
        </w:tc>
        <w:tc>
          <w:tcPr>
            <w:tcW w:type="dxa" w:w="994"/>
            <w:tcMar>
              <w:top w:w="80" w:type="dxa"/>
              <w:bottom w:w="80" w:type="dxa"/>
              <w:left w:w="80" w:type="dxa"/>
              <w:right w:w="80" w:type="dxa"/>
            </w:tcMar>
            <w:vAlign w:val="center"/>
          </w:tcPr>
          <w:p>
            <w:r>
              <w:rPr>
                <w:sz w:val="16"/>
              </w:rPr>
              <w:t>Power management coordination: monitoring utility power reliability, validating commercial meter readings, coordinating with Meralco/electric cooperatives for transformer fuse restoration, and performing routine 250-hour preventive servicing on backup diesel generator sets (engine oil, oil filter, fuel filter, air cleaner replacement, coolant check).</w:t>
              <w:br/>
              <w:t>• Inclusions: Utility outage coordination, meter reading audit, 250-hr generator PM servicing, coolant/filter checks.</w:t>
              <w:br/>
              <w:t>• Exclusions: Commercial grid electric utility consumption charges (Operator pays utility bills).</w:t>
            </w:r>
          </w:p>
        </w:tc>
        <w:tc>
          <w:tcPr>
            <w:tcW w:type="dxa" w:w="994"/>
            <w:tcMar>
              <w:top w:w="80" w:type="dxa"/>
              <w:bottom w:w="80" w:type="dxa"/>
              <w:left w:w="80" w:type="dxa"/>
              <w:right w:w="80" w:type="dxa"/>
            </w:tcMar>
            <w:vAlign w:val="center"/>
          </w:tcPr>
          <w:p>
            <w:pPr>
              <w:jc w:val="center"/>
            </w:pPr>
            <w:r>
              <w:rPr>
                <w:b/>
                <w:sz w:val="16"/>
              </w:rPr>
              <w:t>Per Site / Month</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Monthly in arrears.</w:t>
            </w:r>
          </w:p>
        </w:tc>
        <w:tc>
          <w:tcPr>
            <w:tcW w:type="dxa" w:w="994"/>
            <w:tcMar>
              <w:top w:w="80" w:type="dxa"/>
              <w:bottom w:w="80" w:type="dxa"/>
              <w:left w:w="80" w:type="dxa"/>
              <w:right w:w="80" w:type="dxa"/>
            </w:tcMar>
            <w:vAlign w:val="center"/>
          </w:tcPr>
          <w:p>
            <w:r>
              <w:rPr>
                <w:sz w:val="16"/>
              </w:rPr>
              <w:t>Monthly Energy Consumption Audit &amp; Genset PM Service Log</w:t>
            </w:r>
          </w:p>
        </w:tc>
      </w:tr>
      <w:tr>
        <w:tc>
          <w:tcPr>
            <w:tcW w:type="dxa" w:w="994"/>
            <w:tcMar>
              <w:top w:w="80" w:type="dxa"/>
              <w:bottom w:w="80" w:type="dxa"/>
              <w:left w:w="80" w:type="dxa"/>
              <w:right w:w="80" w:type="dxa"/>
            </w:tcMar>
            <w:vAlign w:val="center"/>
          </w:tcPr>
          <w:p>
            <w:pPr>
              <w:jc w:val="center"/>
            </w:pPr>
            <w:r>
              <w:rPr>
                <w:b/>
                <w:sz w:val="16"/>
              </w:rPr>
              <w:t>MS-SW-01</w:t>
            </w:r>
          </w:p>
        </w:tc>
        <w:tc>
          <w:tcPr>
            <w:tcW w:type="dxa" w:w="994"/>
            <w:tcMar>
              <w:top w:w="80" w:type="dxa"/>
              <w:bottom w:w="80" w:type="dxa"/>
              <w:left w:w="80" w:type="dxa"/>
              <w:right w:w="80" w:type="dxa"/>
            </w:tcMar>
            <w:vAlign w:val="center"/>
          </w:tcPr>
          <w:p>
            <w:r>
              <w:rPr>
                <w:sz w:val="16"/>
              </w:rPr>
              <w:t>Software Support, Firmware Patching &amp; Cybersecurity Hardening</w:t>
            </w:r>
          </w:p>
        </w:tc>
        <w:tc>
          <w:tcPr>
            <w:tcW w:type="dxa" w:w="994"/>
            <w:tcMar>
              <w:top w:w="80" w:type="dxa"/>
              <w:bottom w:w="80" w:type="dxa"/>
              <w:left w:w="80" w:type="dxa"/>
              <w:right w:w="80" w:type="dxa"/>
            </w:tcMar>
            <w:vAlign w:val="center"/>
          </w:tcPr>
          <w:p>
            <w:r>
              <w:rPr>
                <w:sz w:val="16"/>
              </w:rPr>
              <w:t>Scheduled execution of software maintenance: applying OEM-approved firmware updates and feature patches during maintenance windows (00:00–05:00); implementing CVE security patches and hardening configs; executing weekly automated BBU and Core configuration backups; and maintaining offsite configuration archives.</w:t>
              <w:br/>
              <w:t>• Inclusions: Firmware deployment, CVE security updates, maintenance window execution, automated backups.</w:t>
              <w:br/>
              <w:t>• Exclusions: New major software feature releases requiring feature license fee purchase (Lot 1/Lot 3 scope).</w:t>
            </w:r>
          </w:p>
        </w:tc>
        <w:tc>
          <w:tcPr>
            <w:tcW w:type="dxa" w:w="994"/>
            <w:tcMar>
              <w:top w:w="80" w:type="dxa"/>
              <w:bottom w:w="80" w:type="dxa"/>
              <w:left w:w="80" w:type="dxa"/>
              <w:right w:w="80" w:type="dxa"/>
            </w:tcMar>
            <w:vAlign w:val="center"/>
          </w:tcPr>
          <w:p>
            <w:pPr>
              <w:jc w:val="center"/>
            </w:pPr>
            <w:r>
              <w:rPr>
                <w:b/>
                <w:sz w:val="16"/>
              </w:rPr>
              <w:t>Per Site / Month</w:t>
            </w:r>
          </w:p>
        </w:tc>
        <w:tc>
          <w:tcPr>
            <w:tcW w:type="dxa" w:w="994"/>
            <w:tcMar>
              <w:top w:w="80" w:type="dxa"/>
              <w:bottom w:w="80" w:type="dxa"/>
              <w:left w:w="80" w:type="dxa"/>
              <w:right w:w="80" w:type="dxa"/>
            </w:tcMar>
            <w:vAlign w:val="center"/>
          </w:tcPr>
          <w:p>
            <w:pPr>
              <w:jc w:val="center"/>
            </w:pPr>
            <w:r>
              <w:rPr>
                <w:b/>
                <w:sz w:val="16"/>
              </w:rPr>
              <w:t>1,000</w:t>
            </w:r>
          </w:p>
        </w:tc>
        <w:tc>
          <w:tcPr>
            <w:tcW w:type="dxa" w:w="994"/>
            <w:tcMar>
              <w:top w:w="80" w:type="dxa"/>
              <w:bottom w:w="80" w:type="dxa"/>
              <w:left w:w="80" w:type="dxa"/>
              <w:right w:w="80" w:type="dxa"/>
            </w:tcMar>
            <w:vAlign w:val="center"/>
          </w:tcPr>
          <w:p>
            <w:pPr>
              <w:jc w:val="center"/>
            </w:pPr>
            <w:r>
              <w:rPr>
                <w:b/>
                <w:sz w:val="16"/>
              </w:rPr>
              <w:t>5,000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Monthly in arrears.</w:t>
            </w:r>
          </w:p>
        </w:tc>
        <w:tc>
          <w:tcPr>
            <w:tcW w:type="dxa" w:w="994"/>
            <w:tcMar>
              <w:top w:w="80" w:type="dxa"/>
              <w:bottom w:w="80" w:type="dxa"/>
              <w:left w:w="80" w:type="dxa"/>
              <w:right w:w="80" w:type="dxa"/>
            </w:tcMar>
            <w:vAlign w:val="center"/>
          </w:tcPr>
          <w:p>
            <w:r>
              <w:rPr>
                <w:sz w:val="16"/>
              </w:rPr>
              <w:t>Monthly Patch Deployment Log &amp; Configuration Backup Verification Certificate</w:t>
            </w:r>
          </w:p>
        </w:tc>
      </w:tr>
      <w:tr>
        <w:tc>
          <w:tcPr>
            <w:tcW w:type="dxa" w:w="9940"/>
            <w:gridSpan w:val="10"/>
            <w:shd w:fill="E2E8F0"/>
            <w:tcMar>
              <w:top w:w="100" w:type="dxa"/>
              <w:bottom w:w="100" w:type="dxa"/>
              <w:left w:w="150" w:type="dxa"/>
              <w:right w:w="150" w:type="dxa"/>
            </w:tcMar>
          </w:tcPr>
          <w:p>
            <w:r>
              <w:rPr>
                <w:b/>
                <w:color w:val="0F3460"/>
                <w:sz w:val="18"/>
              </w:rPr>
              <w:t>DOMAIN: AD-HOC CALL-OUT SERVICES RATE CARD</w:t>
            </w:r>
          </w:p>
        </w:tc>
      </w:tr>
      <w:tr>
        <w:tc>
          <w:tcPr>
            <w:tcW w:type="dxa" w:w="994"/>
            <w:tcMar>
              <w:top w:w="80" w:type="dxa"/>
              <w:bottom w:w="80" w:type="dxa"/>
              <w:left w:w="80" w:type="dxa"/>
              <w:right w:w="80" w:type="dxa"/>
            </w:tcMar>
            <w:vAlign w:val="center"/>
          </w:tcPr>
          <w:p>
            <w:pPr>
              <w:jc w:val="center"/>
            </w:pPr>
            <w:r>
              <w:rPr>
                <w:b/>
                <w:sz w:val="16"/>
              </w:rPr>
              <w:t>CALL-01</w:t>
            </w:r>
          </w:p>
        </w:tc>
        <w:tc>
          <w:tcPr>
            <w:tcW w:type="dxa" w:w="994"/>
            <w:tcMar>
              <w:top w:w="80" w:type="dxa"/>
              <w:bottom w:w="80" w:type="dxa"/>
              <w:left w:w="80" w:type="dxa"/>
              <w:right w:w="80" w:type="dxa"/>
            </w:tcMar>
            <w:vAlign w:val="center"/>
          </w:tcPr>
          <w:p>
            <w:r>
              <w:rPr>
                <w:sz w:val="16"/>
              </w:rPr>
              <w:t>Specialized Tower Rigging Call-Out Service</w:t>
            </w:r>
          </w:p>
        </w:tc>
        <w:tc>
          <w:tcPr>
            <w:tcW w:type="dxa" w:w="994"/>
            <w:tcMar>
              <w:top w:w="80" w:type="dxa"/>
              <w:bottom w:w="80" w:type="dxa"/>
              <w:left w:w="80" w:type="dxa"/>
              <w:right w:w="80" w:type="dxa"/>
            </w:tcMar>
            <w:vAlign w:val="center"/>
          </w:tcPr>
          <w:p>
            <w:r>
              <w:rPr>
                <w:sz w:val="16"/>
              </w:rPr>
              <w:t>Ad-hoc mobilization of a certified tower climbing crew to execute non-standard physical antenna modifications: adjusting mechanical tilt, azimuth, or antenna mounting height upon structural reconfiguration or post-typhoon realignment.</w:t>
              <w:br/>
              <w:t>• Inclusions: Rigging crew, climbing tackle, digital compass/inclinometer alignment, before/after photos.</w:t>
              <w:br/>
              <w:t>• Exclusions: Supply of new replacement antennas.</w:t>
            </w:r>
          </w:p>
        </w:tc>
        <w:tc>
          <w:tcPr>
            <w:tcW w:type="dxa" w:w="994"/>
            <w:tcMar>
              <w:top w:w="80" w:type="dxa"/>
              <w:bottom w:w="80" w:type="dxa"/>
              <w:left w:w="80" w:type="dxa"/>
              <w:right w:w="80" w:type="dxa"/>
            </w:tcMar>
            <w:vAlign w:val="center"/>
          </w:tcPr>
          <w:p>
            <w:pPr>
              <w:jc w:val="center"/>
            </w:pPr>
            <w:r>
              <w:rPr>
                <w:b/>
                <w:sz w:val="16"/>
              </w:rPr>
              <w:t>Per Sector / Per Man-Day</w:t>
            </w:r>
          </w:p>
        </w:tc>
        <w:tc>
          <w:tcPr>
            <w:tcW w:type="dxa" w:w="994"/>
            <w:tcMar>
              <w:top w:w="80" w:type="dxa"/>
              <w:bottom w:w="80" w:type="dxa"/>
              <w:left w:w="80" w:type="dxa"/>
              <w:right w:w="80" w:type="dxa"/>
            </w:tcMar>
            <w:vAlign w:val="center"/>
          </w:tcPr>
          <w:p>
            <w:pPr>
              <w:jc w:val="center"/>
            </w:pPr>
            <w:r>
              <w:rPr>
                <w:b/>
                <w:sz w:val="16"/>
              </w:rPr>
              <w:t>100</w:t>
            </w:r>
          </w:p>
        </w:tc>
        <w:tc>
          <w:tcPr>
            <w:tcW w:type="dxa" w:w="994"/>
            <w:tcMar>
              <w:top w:w="80" w:type="dxa"/>
              <w:bottom w:w="80" w:type="dxa"/>
              <w:left w:w="80" w:type="dxa"/>
              <w:right w:w="80" w:type="dxa"/>
            </w:tcMar>
            <w:vAlign w:val="center"/>
          </w:tcPr>
          <w:p>
            <w:pPr>
              <w:jc w:val="center"/>
            </w:pPr>
            <w:r>
              <w:rPr>
                <w:b/>
                <w:sz w:val="16"/>
              </w:rPr>
              <w:t>500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completion and photographic verification.</w:t>
            </w:r>
          </w:p>
        </w:tc>
        <w:tc>
          <w:tcPr>
            <w:tcW w:type="dxa" w:w="994"/>
            <w:tcMar>
              <w:top w:w="80" w:type="dxa"/>
              <w:bottom w:w="80" w:type="dxa"/>
              <w:left w:w="80" w:type="dxa"/>
              <w:right w:w="80" w:type="dxa"/>
            </w:tcMar>
            <w:vAlign w:val="center"/>
          </w:tcPr>
          <w:p>
            <w:r>
              <w:rPr>
                <w:sz w:val="16"/>
              </w:rPr>
              <w:t>Rigging Work Order Completion Sheet &amp; Re-alignment Certificate</w:t>
            </w:r>
          </w:p>
        </w:tc>
      </w:tr>
      <w:tr>
        <w:tc>
          <w:tcPr>
            <w:tcW w:type="dxa" w:w="994"/>
            <w:tcMar>
              <w:top w:w="80" w:type="dxa"/>
              <w:bottom w:w="80" w:type="dxa"/>
              <w:left w:w="80" w:type="dxa"/>
              <w:right w:w="80" w:type="dxa"/>
            </w:tcMar>
            <w:vAlign w:val="center"/>
          </w:tcPr>
          <w:p>
            <w:pPr>
              <w:jc w:val="center"/>
            </w:pPr>
            <w:r>
              <w:rPr>
                <w:b/>
                <w:sz w:val="16"/>
              </w:rPr>
              <w:t>CALL-02</w:t>
            </w:r>
          </w:p>
        </w:tc>
        <w:tc>
          <w:tcPr>
            <w:tcW w:type="dxa" w:w="994"/>
            <w:tcMar>
              <w:top w:w="80" w:type="dxa"/>
              <w:bottom w:w="80" w:type="dxa"/>
              <w:left w:w="80" w:type="dxa"/>
              <w:right w:w="80" w:type="dxa"/>
            </w:tcMar>
            <w:vAlign w:val="center"/>
          </w:tcPr>
          <w:p>
            <w:r>
              <w:rPr>
                <w:sz w:val="16"/>
              </w:rPr>
              <w:t>Emergency Typhoon Disaster Recovery Crew</w:t>
            </w:r>
          </w:p>
        </w:tc>
        <w:tc>
          <w:tcPr>
            <w:tcW w:type="dxa" w:w="994"/>
            <w:tcMar>
              <w:top w:w="80" w:type="dxa"/>
              <w:bottom w:w="80" w:type="dxa"/>
              <w:left w:w="80" w:type="dxa"/>
              <w:right w:w="80" w:type="dxa"/>
            </w:tcMar>
            <w:vAlign w:val="center"/>
          </w:tcPr>
          <w:p>
            <w:r>
              <w:rPr>
                <w:sz w:val="16"/>
              </w:rPr>
              <w:t>Rapid deployment of a specialized 4-man disaster recovery crew equipped with heavy-duty 4x4 vehicle, chainsaws, winches, heavy rigging tackle, and portable generator to clear fallen trees, re-erect toppled poles, and execute emergency structural stabilization post-typhoon.</w:t>
              <w:br/>
              <w:t>• Inclusions: 4-man emergency crew, 4x4 vehicle, chainsaw, winch, generator, debris clearing gear.</w:t>
              <w:br/>
              <w:t>• Exclusions: Supply of complete replacement steel towers.</w:t>
            </w:r>
          </w:p>
        </w:tc>
        <w:tc>
          <w:tcPr>
            <w:tcW w:type="dxa" w:w="994"/>
            <w:tcMar>
              <w:top w:w="80" w:type="dxa"/>
              <w:bottom w:w="80" w:type="dxa"/>
              <w:left w:w="80" w:type="dxa"/>
              <w:right w:w="80" w:type="dxa"/>
            </w:tcMar>
            <w:vAlign w:val="center"/>
          </w:tcPr>
          <w:p>
            <w:pPr>
              <w:jc w:val="center"/>
            </w:pPr>
            <w:r>
              <w:rPr>
                <w:b/>
                <w:sz w:val="16"/>
              </w:rPr>
              <w:t>Per Crew / Per Day</w:t>
            </w:r>
          </w:p>
        </w:tc>
        <w:tc>
          <w:tcPr>
            <w:tcW w:type="dxa" w:w="994"/>
            <w:tcMar>
              <w:top w:w="80" w:type="dxa"/>
              <w:bottom w:w="80" w:type="dxa"/>
              <w:left w:w="80" w:type="dxa"/>
              <w:right w:w="80" w:type="dxa"/>
            </w:tcMar>
            <w:vAlign w:val="center"/>
          </w:tcPr>
          <w:p>
            <w:pPr>
              <w:jc w:val="center"/>
            </w:pPr>
            <w:r>
              <w:rPr>
                <w:b/>
                <w:sz w:val="16"/>
              </w:rPr>
              <w:t>50</w:t>
            </w:r>
          </w:p>
        </w:tc>
        <w:tc>
          <w:tcPr>
            <w:tcW w:type="dxa" w:w="994"/>
            <w:tcMar>
              <w:top w:w="80" w:type="dxa"/>
              <w:bottom w:w="80" w:type="dxa"/>
              <w:left w:w="80" w:type="dxa"/>
              <w:right w:w="80" w:type="dxa"/>
            </w:tcMar>
            <w:vAlign w:val="center"/>
          </w:tcPr>
          <w:p>
            <w:pPr>
              <w:jc w:val="center"/>
            </w:pPr>
            <w:r>
              <w:rPr>
                <w:b/>
                <w:sz w:val="16"/>
              </w:rPr>
              <w:t>250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daily crew timesheet approval by Operator.</w:t>
            </w:r>
          </w:p>
        </w:tc>
        <w:tc>
          <w:tcPr>
            <w:tcW w:type="dxa" w:w="994"/>
            <w:tcMar>
              <w:top w:w="80" w:type="dxa"/>
              <w:bottom w:w="80" w:type="dxa"/>
              <w:left w:w="80" w:type="dxa"/>
              <w:right w:w="80" w:type="dxa"/>
            </w:tcMar>
            <w:vAlign w:val="center"/>
          </w:tcPr>
          <w:p>
            <w:r>
              <w:rPr>
                <w:sz w:val="16"/>
              </w:rPr>
              <w:t>Disaster Recovery Timesheet &amp; Field Activity Report</w:t>
            </w:r>
          </w:p>
        </w:tc>
      </w:tr>
      <w:tr>
        <w:tc>
          <w:tcPr>
            <w:tcW w:type="dxa" w:w="994"/>
            <w:tcMar>
              <w:top w:w="80" w:type="dxa"/>
              <w:bottom w:w="80" w:type="dxa"/>
              <w:left w:w="80" w:type="dxa"/>
              <w:right w:w="80" w:type="dxa"/>
            </w:tcMar>
            <w:vAlign w:val="center"/>
          </w:tcPr>
          <w:p>
            <w:pPr>
              <w:jc w:val="center"/>
            </w:pPr>
            <w:r>
              <w:rPr>
                <w:b/>
                <w:sz w:val="16"/>
              </w:rPr>
              <w:t>CALL-03</w:t>
            </w:r>
          </w:p>
        </w:tc>
        <w:tc>
          <w:tcPr>
            <w:tcW w:type="dxa" w:w="994"/>
            <w:tcMar>
              <w:top w:w="80" w:type="dxa"/>
              <w:bottom w:w="80" w:type="dxa"/>
              <w:left w:w="80" w:type="dxa"/>
              <w:right w:w="80" w:type="dxa"/>
            </w:tcMar>
            <w:vAlign w:val="center"/>
          </w:tcPr>
          <w:p>
            <w:r>
              <w:rPr>
                <w:sz w:val="16"/>
              </w:rPr>
              <w:t>Mobile Emergency Generator Deployment &amp; Continuous Run</w:t>
            </w:r>
          </w:p>
        </w:tc>
        <w:tc>
          <w:tcPr>
            <w:tcW w:type="dxa" w:w="994"/>
            <w:tcMar>
              <w:top w:w="80" w:type="dxa"/>
              <w:bottom w:w="80" w:type="dxa"/>
              <w:left w:w="80" w:type="dxa"/>
              <w:right w:w="80" w:type="dxa"/>
            </w:tcMar>
            <w:vAlign w:val="center"/>
          </w:tcPr>
          <w:p>
            <w:r>
              <w:rPr>
                <w:sz w:val="16"/>
              </w:rPr>
              <w:t>Delivery, positioning, cabling, and commissioning of a mobile trailer-mounted 15–20 kVA diesel generator at a damaged site during extended utility grid blackouts; includes 48 hours of continuous operation, continuous refueling, and operator surveillance.</w:t>
              <w:br/>
              <w:t>• Inclusions: Trailer genset delivery, connection cables, 48 hours continuous running, fuel, technician operator.</w:t>
              <w:br/>
              <w:t>• Exclusions: Operation beyond 48 hours (billed as consecutive additional 48-hr call-out blocks).</w:t>
            </w:r>
          </w:p>
        </w:tc>
        <w:tc>
          <w:tcPr>
            <w:tcW w:type="dxa" w:w="994"/>
            <w:tcMar>
              <w:top w:w="80" w:type="dxa"/>
              <w:bottom w:w="80" w:type="dxa"/>
              <w:left w:w="80" w:type="dxa"/>
              <w:right w:w="80" w:type="dxa"/>
            </w:tcMar>
            <w:vAlign w:val="center"/>
          </w:tcPr>
          <w:p>
            <w:pPr>
              <w:jc w:val="center"/>
            </w:pPr>
            <w:r>
              <w:rPr>
                <w:b/>
                <w:sz w:val="16"/>
              </w:rPr>
              <w:t>Per Deployment Event (48-hr block)</w:t>
            </w:r>
          </w:p>
        </w:tc>
        <w:tc>
          <w:tcPr>
            <w:tcW w:type="dxa" w:w="994"/>
            <w:tcMar>
              <w:top w:w="80" w:type="dxa"/>
              <w:bottom w:w="80" w:type="dxa"/>
              <w:left w:w="80" w:type="dxa"/>
              <w:right w:w="80" w:type="dxa"/>
            </w:tcMar>
            <w:vAlign w:val="center"/>
          </w:tcPr>
          <w:p>
            <w:pPr>
              <w:jc w:val="center"/>
            </w:pPr>
            <w:r>
              <w:rPr>
                <w:b/>
                <w:sz w:val="16"/>
              </w:rPr>
              <w:t>50</w:t>
            </w:r>
          </w:p>
        </w:tc>
        <w:tc>
          <w:tcPr>
            <w:tcW w:type="dxa" w:w="994"/>
            <w:tcMar>
              <w:top w:w="80" w:type="dxa"/>
              <w:bottom w:w="80" w:type="dxa"/>
              <w:left w:w="80" w:type="dxa"/>
              <w:right w:w="80" w:type="dxa"/>
            </w:tcMar>
            <w:vAlign w:val="center"/>
          </w:tcPr>
          <w:p>
            <w:pPr>
              <w:jc w:val="center"/>
            </w:pPr>
            <w:r>
              <w:rPr>
                <w:b/>
                <w:sz w:val="16"/>
              </w:rPr>
              <w:t>250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completion of emergency run.</w:t>
            </w:r>
          </w:p>
        </w:tc>
        <w:tc>
          <w:tcPr>
            <w:tcW w:type="dxa" w:w="994"/>
            <w:tcMar>
              <w:top w:w="80" w:type="dxa"/>
              <w:bottom w:w="80" w:type="dxa"/>
              <w:left w:w="80" w:type="dxa"/>
              <w:right w:w="80" w:type="dxa"/>
            </w:tcMar>
            <w:vAlign w:val="center"/>
          </w:tcPr>
          <w:p>
            <w:r>
              <w:rPr>
                <w:sz w:val="16"/>
              </w:rPr>
              <w:t>Emergency Power Log &amp; Generator Run-Hour Telemetry</w:t>
            </w:r>
          </w:p>
        </w:tc>
      </w:tr>
      <w:tr>
        <w:tc>
          <w:tcPr>
            <w:tcW w:type="dxa" w:w="994"/>
            <w:tcMar>
              <w:top w:w="80" w:type="dxa"/>
              <w:bottom w:w="80" w:type="dxa"/>
              <w:left w:w="80" w:type="dxa"/>
              <w:right w:w="80" w:type="dxa"/>
            </w:tcMar>
            <w:vAlign w:val="center"/>
          </w:tcPr>
          <w:p>
            <w:pPr>
              <w:jc w:val="center"/>
            </w:pPr>
            <w:r>
              <w:rPr>
                <w:b/>
                <w:sz w:val="16"/>
              </w:rPr>
              <w:t>CALL-04</w:t>
            </w:r>
          </w:p>
        </w:tc>
        <w:tc>
          <w:tcPr>
            <w:tcW w:type="dxa" w:w="994"/>
            <w:tcMar>
              <w:top w:w="80" w:type="dxa"/>
              <w:bottom w:w="80" w:type="dxa"/>
              <w:left w:w="80" w:type="dxa"/>
              <w:right w:w="80" w:type="dxa"/>
            </w:tcMar>
            <w:vAlign w:val="center"/>
          </w:tcPr>
          <w:p>
            <w:r>
              <w:rPr>
                <w:sz w:val="16"/>
              </w:rPr>
              <w:t>Long-Span Optical Fiber Cable Restoration &amp; Splicing</w:t>
            </w:r>
          </w:p>
        </w:tc>
        <w:tc>
          <w:tcPr>
            <w:tcW w:type="dxa" w:w="994"/>
            <w:tcMar>
              <w:top w:w="80" w:type="dxa"/>
              <w:bottom w:w="80" w:type="dxa"/>
              <w:left w:w="80" w:type="dxa"/>
              <w:right w:w="80" w:type="dxa"/>
            </w:tcMar>
            <w:vAlign w:val="center"/>
          </w:tcPr>
          <w:p>
            <w:r>
              <w:rPr>
                <w:sz w:val="16"/>
              </w:rPr>
              <w:t>Emergency or planned restoration of major backhaul fiber cable cuts exceeding 500 meters: stringing replacement 24-core armored aerial or underground fiber cable, installing suspension clamps, fusion splicing at both splice closures, and testing optical loss.</w:t>
              <w:br/>
              <w:t>• Inclusions: Cable stringing labor, suspension clamps, 2x fusion splice enclosures, OTDR testing.</w:t>
              <w:br/>
              <w:t>• Exclusions: Supply of raw fiber optic cable (provided from operator inventory or billed separately).</w:t>
            </w:r>
          </w:p>
        </w:tc>
        <w:tc>
          <w:tcPr>
            <w:tcW w:type="dxa" w:w="994"/>
            <w:tcMar>
              <w:top w:w="80" w:type="dxa"/>
              <w:bottom w:w="80" w:type="dxa"/>
              <w:left w:w="80" w:type="dxa"/>
              <w:right w:w="80" w:type="dxa"/>
            </w:tcMar>
            <w:vAlign w:val="center"/>
          </w:tcPr>
          <w:p>
            <w:pPr>
              <w:jc w:val="center"/>
            </w:pPr>
            <w:r>
              <w:rPr>
                <w:b/>
                <w:sz w:val="16"/>
              </w:rPr>
              <w:t>Per Meter / Per Span</w:t>
            </w:r>
          </w:p>
        </w:tc>
        <w:tc>
          <w:tcPr>
            <w:tcW w:type="dxa" w:w="994"/>
            <w:tcMar>
              <w:top w:w="80" w:type="dxa"/>
              <w:bottom w:w="80" w:type="dxa"/>
              <w:left w:w="80" w:type="dxa"/>
              <w:right w:w="80" w:type="dxa"/>
            </w:tcMar>
            <w:vAlign w:val="center"/>
          </w:tcPr>
          <w:p>
            <w:pPr>
              <w:jc w:val="center"/>
            </w:pPr>
            <w:r>
              <w:rPr>
                <w:b/>
                <w:sz w:val="16"/>
              </w:rPr>
              <w:t>10,000</w:t>
            </w:r>
          </w:p>
        </w:tc>
        <w:tc>
          <w:tcPr>
            <w:tcW w:type="dxa" w:w="994"/>
            <w:tcMar>
              <w:top w:w="80" w:type="dxa"/>
              <w:bottom w:w="80" w:type="dxa"/>
              <w:left w:w="80" w:type="dxa"/>
              <w:right w:w="80" w:type="dxa"/>
            </w:tcMar>
            <w:vAlign w:val="center"/>
          </w:tcPr>
          <w:p>
            <w:pPr>
              <w:jc w:val="center"/>
            </w:pPr>
            <w:r>
              <w:rPr>
                <w:b/>
                <w:sz w:val="16"/>
              </w:rPr>
              <w:t>50,000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OTDR bi-directional loss sign-off.</w:t>
            </w:r>
          </w:p>
        </w:tc>
        <w:tc>
          <w:tcPr>
            <w:tcW w:type="dxa" w:w="994"/>
            <w:tcMar>
              <w:top w:w="80" w:type="dxa"/>
              <w:bottom w:w="80" w:type="dxa"/>
              <w:left w:w="80" w:type="dxa"/>
              <w:right w:w="80" w:type="dxa"/>
            </w:tcMar>
            <w:vAlign w:val="center"/>
          </w:tcPr>
          <w:p>
            <w:r>
              <w:rPr>
                <w:sz w:val="16"/>
              </w:rPr>
              <w:t>Bi-Directional OTDR Loss Trace &amp; Splicing Certificate</w:t>
            </w:r>
          </w:p>
        </w:tc>
      </w:tr>
      <w:tr>
        <w:tc>
          <w:tcPr>
            <w:tcW w:type="dxa" w:w="994"/>
            <w:tcMar>
              <w:top w:w="80" w:type="dxa"/>
              <w:bottom w:w="80" w:type="dxa"/>
              <w:left w:w="80" w:type="dxa"/>
              <w:right w:w="80" w:type="dxa"/>
            </w:tcMar>
            <w:vAlign w:val="center"/>
          </w:tcPr>
          <w:p>
            <w:pPr>
              <w:jc w:val="center"/>
            </w:pPr>
            <w:r>
              <w:rPr>
                <w:b/>
                <w:sz w:val="16"/>
              </w:rPr>
              <w:t>CALL-05</w:t>
            </w:r>
          </w:p>
        </w:tc>
        <w:tc>
          <w:tcPr>
            <w:tcW w:type="dxa" w:w="994"/>
            <w:tcMar>
              <w:top w:w="80" w:type="dxa"/>
              <w:bottom w:w="80" w:type="dxa"/>
              <w:left w:w="80" w:type="dxa"/>
              <w:right w:w="80" w:type="dxa"/>
            </w:tcMar>
            <w:vAlign w:val="center"/>
          </w:tcPr>
          <w:p>
            <w:r>
              <w:rPr>
                <w:sz w:val="16"/>
              </w:rPr>
              <w:t>Drone Structural, Panoramic &amp; Thermal Imaging Survey</w:t>
            </w:r>
          </w:p>
        </w:tc>
        <w:tc>
          <w:tcPr>
            <w:tcW w:type="dxa" w:w="994"/>
            <w:tcMar>
              <w:top w:w="80" w:type="dxa"/>
              <w:bottom w:w="80" w:type="dxa"/>
              <w:left w:w="80" w:type="dxa"/>
              <w:right w:w="80" w:type="dxa"/>
            </w:tcMar>
            <w:vAlign w:val="center"/>
          </w:tcPr>
          <w:p>
            <w:r>
              <w:rPr>
                <w:sz w:val="16"/>
              </w:rPr>
              <w:t>High-resolution aerial inspection utilizing drone equipped with 4K optical zoom and radiometric thermal sensor: auditing tower structural integrity, inspecting hard-to-reach antenna brackets, and detecting hotspot anomalies on power joints and cables.</w:t>
              <w:br/>
              <w:t>• Inclusions: Licensed drone pilot, 4K video, high-res photos, radiometric thermal imaging, analysis report.</w:t>
              <w:br/>
              <w:t>• Exclusions: Physical repairs to identified anomalies.</w:t>
            </w:r>
          </w:p>
        </w:tc>
        <w:tc>
          <w:tcPr>
            <w:tcW w:type="dxa" w:w="994"/>
            <w:tcMar>
              <w:top w:w="80" w:type="dxa"/>
              <w:bottom w:w="80" w:type="dxa"/>
              <w:left w:w="80" w:type="dxa"/>
              <w:right w:w="80" w:type="dxa"/>
            </w:tcMar>
            <w:vAlign w:val="center"/>
          </w:tcPr>
          <w:p>
            <w:pPr>
              <w:jc w:val="center"/>
            </w:pPr>
            <w:r>
              <w:rPr>
                <w:b/>
                <w:sz w:val="16"/>
              </w:rPr>
              <w:t>Per Site Flight</w:t>
            </w:r>
          </w:p>
        </w:tc>
        <w:tc>
          <w:tcPr>
            <w:tcW w:type="dxa" w:w="994"/>
            <w:tcMar>
              <w:top w:w="80" w:type="dxa"/>
              <w:bottom w:w="80" w:type="dxa"/>
              <w:left w:w="80" w:type="dxa"/>
              <w:right w:w="80" w:type="dxa"/>
            </w:tcMar>
            <w:vAlign w:val="center"/>
          </w:tcPr>
          <w:p>
            <w:pPr>
              <w:jc w:val="center"/>
            </w:pPr>
            <w:r>
              <w:rPr>
                <w:b/>
                <w:sz w:val="16"/>
              </w:rPr>
              <w:t>50</w:t>
            </w:r>
          </w:p>
        </w:tc>
        <w:tc>
          <w:tcPr>
            <w:tcW w:type="dxa" w:w="994"/>
            <w:tcMar>
              <w:top w:w="80" w:type="dxa"/>
              <w:bottom w:w="80" w:type="dxa"/>
              <w:left w:w="80" w:type="dxa"/>
              <w:right w:w="80" w:type="dxa"/>
            </w:tcMar>
            <w:vAlign w:val="center"/>
          </w:tcPr>
          <w:p>
            <w:pPr>
              <w:jc w:val="center"/>
            </w:pPr>
            <w:r>
              <w:rPr>
                <w:b/>
                <w:sz w:val="16"/>
              </w:rPr>
              <w:t>250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submission of 4K video, photos, and thermal report.</w:t>
            </w:r>
          </w:p>
        </w:tc>
        <w:tc>
          <w:tcPr>
            <w:tcW w:type="dxa" w:w="994"/>
            <w:tcMar>
              <w:top w:w="80" w:type="dxa"/>
              <w:bottom w:w="80" w:type="dxa"/>
              <w:left w:w="80" w:type="dxa"/>
              <w:right w:w="80" w:type="dxa"/>
            </w:tcMar>
            <w:vAlign w:val="center"/>
          </w:tcPr>
          <w:p>
            <w:r>
              <w:rPr>
                <w:sz w:val="16"/>
              </w:rPr>
              <w:t>High-Resolution Aerial Video/Photo Suite &amp; Thermal Analysis Report</w:t>
            </w:r>
          </w:p>
        </w:tc>
      </w:tr>
      <w:tr>
        <w:tc>
          <w:tcPr>
            <w:tcW w:type="dxa" w:w="994"/>
            <w:tcMar>
              <w:top w:w="80" w:type="dxa"/>
              <w:bottom w:w="80" w:type="dxa"/>
              <w:left w:w="80" w:type="dxa"/>
              <w:right w:w="80" w:type="dxa"/>
            </w:tcMar>
            <w:vAlign w:val="center"/>
          </w:tcPr>
          <w:p>
            <w:pPr>
              <w:jc w:val="center"/>
            </w:pPr>
            <w:r>
              <w:rPr>
                <w:b/>
                <w:sz w:val="16"/>
              </w:rPr>
              <w:t>CALL-06</w:t>
            </w:r>
          </w:p>
        </w:tc>
        <w:tc>
          <w:tcPr>
            <w:tcW w:type="dxa" w:w="994"/>
            <w:tcMar>
              <w:top w:w="80" w:type="dxa"/>
              <w:bottom w:w="80" w:type="dxa"/>
              <w:left w:w="80" w:type="dxa"/>
              <w:right w:w="80" w:type="dxa"/>
            </w:tcMar>
            <w:vAlign w:val="center"/>
          </w:tcPr>
          <w:p>
            <w:r>
              <w:rPr>
                <w:sz w:val="16"/>
              </w:rPr>
              <w:t>Tower Structural Strengthening &amp; Leg Reinforcement</w:t>
            </w:r>
          </w:p>
        </w:tc>
        <w:tc>
          <w:tcPr>
            <w:tcW w:type="dxa" w:w="994"/>
            <w:tcMar>
              <w:top w:w="80" w:type="dxa"/>
              <w:bottom w:w="80" w:type="dxa"/>
              <w:left w:w="80" w:type="dxa"/>
              <w:right w:w="80" w:type="dxa"/>
            </w:tcMar>
            <w:vAlign w:val="center"/>
          </w:tcPr>
          <w:p>
            <w:r>
              <w:rPr>
                <w:sz w:val="16"/>
              </w:rPr>
              <w:t>Physical structural modification of existing tower or monopole: installing steel reinforcement members, flange stiffeners, cross-bracing, or guy wire tensioning based on approved PE structural engineering calculations.</w:t>
              <w:br/>
              <w:t>• Inclusions: Steel fabrication, rigging installation, bolt torquing, cold galvanizing, PE sign-off.</w:t>
              <w:br/>
              <w:t>• Exclusions: Supply of primary raw steel members (billed based on approved DED BoQ).</w:t>
            </w:r>
          </w:p>
        </w:tc>
        <w:tc>
          <w:tcPr>
            <w:tcW w:type="dxa" w:w="994"/>
            <w:tcMar>
              <w:top w:w="80" w:type="dxa"/>
              <w:bottom w:w="80" w:type="dxa"/>
              <w:left w:w="80" w:type="dxa"/>
              <w:right w:w="80" w:type="dxa"/>
            </w:tcMar>
            <w:vAlign w:val="center"/>
          </w:tcPr>
          <w:p>
            <w:pPr>
              <w:jc w:val="center"/>
            </w:pPr>
            <w:r>
              <w:rPr>
                <w:b/>
                <w:sz w:val="16"/>
              </w:rPr>
              <w:t>Per Tower / Lump Sum based on DED</w:t>
            </w:r>
          </w:p>
        </w:tc>
        <w:tc>
          <w:tcPr>
            <w:tcW w:type="dxa" w:w="994"/>
            <w:tcMar>
              <w:top w:w="80" w:type="dxa"/>
              <w:bottom w:w="80" w:type="dxa"/>
              <w:left w:w="80" w:type="dxa"/>
              <w:right w:w="80" w:type="dxa"/>
            </w:tcMar>
            <w:vAlign w:val="center"/>
          </w:tcPr>
          <w:p>
            <w:pPr>
              <w:jc w:val="center"/>
            </w:pPr>
            <w:r>
              <w:rPr>
                <w:b/>
                <w:sz w:val="16"/>
              </w:rPr>
              <w:t>20</w:t>
            </w:r>
          </w:p>
        </w:tc>
        <w:tc>
          <w:tcPr>
            <w:tcW w:type="dxa" w:w="994"/>
            <w:tcMar>
              <w:top w:w="80" w:type="dxa"/>
              <w:bottom w:w="80" w:type="dxa"/>
              <w:left w:w="80" w:type="dxa"/>
              <w:right w:w="80" w:type="dxa"/>
            </w:tcMar>
            <w:vAlign w:val="center"/>
          </w:tcPr>
          <w:p>
            <w:pPr>
              <w:jc w:val="center"/>
            </w:pPr>
            <w:r>
              <w:rPr>
                <w:b/>
                <w:sz w:val="16"/>
              </w:rPr>
              <w:t>100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50% upon material delivery; 50% upon PE structural sign-off.</w:t>
            </w:r>
          </w:p>
        </w:tc>
        <w:tc>
          <w:tcPr>
            <w:tcW w:type="dxa" w:w="994"/>
            <w:tcMar>
              <w:top w:w="80" w:type="dxa"/>
              <w:bottom w:w="80" w:type="dxa"/>
              <w:left w:w="80" w:type="dxa"/>
              <w:right w:w="80" w:type="dxa"/>
            </w:tcMar>
            <w:vAlign w:val="center"/>
          </w:tcPr>
          <w:p>
            <w:r>
              <w:rPr>
                <w:sz w:val="16"/>
              </w:rPr>
              <w:t>As-Built Structural Strengthening Drawings &amp; PE Endorsement</w:t>
            </w:r>
          </w:p>
        </w:tc>
      </w:tr>
      <w:tr>
        <w:tc>
          <w:tcPr>
            <w:tcW w:type="dxa" w:w="994"/>
            <w:tcMar>
              <w:top w:w="80" w:type="dxa"/>
              <w:bottom w:w="80" w:type="dxa"/>
              <w:left w:w="80" w:type="dxa"/>
              <w:right w:w="80" w:type="dxa"/>
            </w:tcMar>
            <w:vAlign w:val="center"/>
          </w:tcPr>
          <w:p>
            <w:pPr>
              <w:jc w:val="center"/>
            </w:pPr>
            <w:r>
              <w:rPr>
                <w:b/>
                <w:sz w:val="16"/>
              </w:rPr>
              <w:t>CALL-07</w:t>
            </w:r>
          </w:p>
        </w:tc>
        <w:tc>
          <w:tcPr>
            <w:tcW w:type="dxa" w:w="994"/>
            <w:tcMar>
              <w:top w:w="80" w:type="dxa"/>
              <w:bottom w:w="80" w:type="dxa"/>
              <w:left w:w="80" w:type="dxa"/>
              <w:right w:w="80" w:type="dxa"/>
            </w:tcMar>
            <w:vAlign w:val="center"/>
          </w:tcPr>
          <w:p>
            <w:r>
              <w:rPr>
                <w:sz w:val="16"/>
              </w:rPr>
              <w:t>Specialized PIM Hunting &amp; Multi-Sector Interference Remediation</w:t>
            </w:r>
          </w:p>
        </w:tc>
        <w:tc>
          <w:tcPr>
            <w:tcW w:type="dxa" w:w="994"/>
            <w:tcMar>
              <w:top w:w="80" w:type="dxa"/>
              <w:bottom w:w="80" w:type="dxa"/>
              <w:left w:w="80" w:type="dxa"/>
              <w:right w:w="80" w:type="dxa"/>
            </w:tcMar>
            <w:vAlign w:val="center"/>
          </w:tcPr>
          <w:p>
            <w:r>
              <w:rPr>
                <w:sz w:val="16"/>
              </w:rPr>
              <w:t>Advanced on-site PIM testing utilizing specialized 2x20W PIM analyzer: identifying internal and external PIM sources, replacing corroded RF jumpers/connectors, and applying RF shielding tape/materials to achieve PIM &lt;= -155 dBc.</w:t>
              <w:br/>
              <w:t>• Inclusions: Calibrated 2x20W PIM test gear, RF sweep, connector re-termination, shielding materials, sweep report.</w:t>
              <w:br/>
              <w:t>• Exclusions: Replacement of damaged antenna internal phase shifters (OEM warranty).</w:t>
            </w:r>
          </w:p>
        </w:tc>
        <w:tc>
          <w:tcPr>
            <w:tcW w:type="dxa" w:w="994"/>
            <w:tcMar>
              <w:top w:w="80" w:type="dxa"/>
              <w:bottom w:w="80" w:type="dxa"/>
              <w:left w:w="80" w:type="dxa"/>
              <w:right w:w="80" w:type="dxa"/>
            </w:tcMar>
            <w:vAlign w:val="center"/>
          </w:tcPr>
          <w:p>
            <w:pPr>
              <w:jc w:val="center"/>
            </w:pPr>
            <w:r>
              <w:rPr>
                <w:b/>
                <w:sz w:val="16"/>
              </w:rPr>
              <w:t>Per Site / Day</w:t>
            </w:r>
          </w:p>
        </w:tc>
        <w:tc>
          <w:tcPr>
            <w:tcW w:type="dxa" w:w="994"/>
            <w:tcMar>
              <w:top w:w="80" w:type="dxa"/>
              <w:bottom w:w="80" w:type="dxa"/>
              <w:left w:w="80" w:type="dxa"/>
              <w:right w:w="80" w:type="dxa"/>
            </w:tcMar>
            <w:vAlign w:val="center"/>
          </w:tcPr>
          <w:p>
            <w:pPr>
              <w:jc w:val="center"/>
            </w:pPr>
            <w:r>
              <w:rPr>
                <w:b/>
                <w:sz w:val="16"/>
              </w:rPr>
              <w:t>30</w:t>
            </w:r>
          </w:p>
        </w:tc>
        <w:tc>
          <w:tcPr>
            <w:tcW w:type="dxa" w:w="994"/>
            <w:tcMar>
              <w:top w:w="80" w:type="dxa"/>
              <w:bottom w:w="80" w:type="dxa"/>
              <w:left w:w="80" w:type="dxa"/>
              <w:right w:w="80" w:type="dxa"/>
            </w:tcMar>
            <w:vAlign w:val="center"/>
          </w:tcPr>
          <w:p>
            <w:pPr>
              <w:jc w:val="center"/>
            </w:pPr>
            <w:r>
              <w:rPr>
                <w:b/>
                <w:sz w:val="16"/>
              </w:rPr>
              <w:t>150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achieving compliant PIM sweep trace.</w:t>
            </w:r>
          </w:p>
        </w:tc>
        <w:tc>
          <w:tcPr>
            <w:tcW w:type="dxa" w:w="994"/>
            <w:tcMar>
              <w:top w:w="80" w:type="dxa"/>
              <w:bottom w:w="80" w:type="dxa"/>
              <w:left w:w="80" w:type="dxa"/>
              <w:right w:w="80" w:type="dxa"/>
            </w:tcMar>
            <w:vAlign w:val="center"/>
          </w:tcPr>
          <w:p>
            <w:r>
              <w:rPr>
                <w:sz w:val="16"/>
              </w:rPr>
              <w:t>Calibrated PIM Sweep Measurement Report</w:t>
            </w:r>
          </w:p>
        </w:tc>
      </w:tr>
      <w:tr>
        <w:tc>
          <w:tcPr>
            <w:tcW w:type="dxa" w:w="994"/>
            <w:tcMar>
              <w:top w:w="80" w:type="dxa"/>
              <w:bottom w:w="80" w:type="dxa"/>
              <w:left w:w="80" w:type="dxa"/>
              <w:right w:w="80" w:type="dxa"/>
            </w:tcMar>
            <w:vAlign w:val="center"/>
          </w:tcPr>
          <w:p>
            <w:pPr>
              <w:jc w:val="center"/>
            </w:pPr>
            <w:r>
              <w:rPr>
                <w:b/>
                <w:sz w:val="16"/>
              </w:rPr>
              <w:t>CALL-08</w:t>
            </w:r>
          </w:p>
        </w:tc>
        <w:tc>
          <w:tcPr>
            <w:tcW w:type="dxa" w:w="994"/>
            <w:tcMar>
              <w:top w:w="80" w:type="dxa"/>
              <w:bottom w:w="80" w:type="dxa"/>
              <w:left w:w="80" w:type="dxa"/>
              <w:right w:w="80" w:type="dxa"/>
            </w:tcMar>
            <w:vAlign w:val="center"/>
          </w:tcPr>
          <w:p>
            <w:r>
              <w:rPr>
                <w:sz w:val="16"/>
              </w:rPr>
              <w:t>Ad-Hoc Emergency Fuel Delivery &amp; Mobile Refueling</w:t>
            </w:r>
          </w:p>
        </w:tc>
        <w:tc>
          <w:tcPr>
            <w:tcW w:type="dxa" w:w="994"/>
            <w:tcMar>
              <w:top w:w="80" w:type="dxa"/>
              <w:bottom w:w="80" w:type="dxa"/>
              <w:left w:w="80" w:type="dxa"/>
              <w:right w:w="80" w:type="dxa"/>
            </w:tcMar>
            <w:vAlign w:val="center"/>
          </w:tcPr>
          <w:p>
            <w:r>
              <w:rPr>
                <w:sz w:val="16"/>
              </w:rPr>
              <w:t>Rapid procurement and transport of clean Euro-4 automotive diesel fuel in certified fuel containers to remote sites during prolonged grid emergencies, including manual transfer to day tank.</w:t>
              <w:br/>
              <w:t>• Inclusions: Fuel procurement, dedicated transport, manual pumping into tank, fuel quality test.</w:t>
              <w:br/>
              <w:t>• Exclusions: Cost of bulk commercial diesel fuel (reimbursed at actual pump receipt price).</w:t>
            </w:r>
          </w:p>
        </w:tc>
        <w:tc>
          <w:tcPr>
            <w:tcW w:type="dxa" w:w="994"/>
            <w:tcMar>
              <w:top w:w="80" w:type="dxa"/>
              <w:bottom w:w="80" w:type="dxa"/>
              <w:left w:w="80" w:type="dxa"/>
              <w:right w:w="80" w:type="dxa"/>
            </w:tcMar>
            <w:vAlign w:val="center"/>
          </w:tcPr>
          <w:p>
            <w:pPr>
              <w:jc w:val="center"/>
            </w:pPr>
            <w:r>
              <w:rPr>
                <w:b/>
                <w:sz w:val="16"/>
              </w:rPr>
              <w:t>Per Liter Delivered / Per Trip</w:t>
            </w:r>
          </w:p>
        </w:tc>
        <w:tc>
          <w:tcPr>
            <w:tcW w:type="dxa" w:w="994"/>
            <w:tcMar>
              <w:top w:w="80" w:type="dxa"/>
              <w:bottom w:w="80" w:type="dxa"/>
              <w:left w:w="80" w:type="dxa"/>
              <w:right w:w="80" w:type="dxa"/>
            </w:tcMar>
            <w:vAlign w:val="center"/>
          </w:tcPr>
          <w:p>
            <w:pPr>
              <w:jc w:val="center"/>
            </w:pPr>
            <w:r>
              <w:rPr>
                <w:b/>
                <w:sz w:val="16"/>
              </w:rPr>
              <w:t>20,000</w:t>
            </w:r>
          </w:p>
        </w:tc>
        <w:tc>
          <w:tcPr>
            <w:tcW w:type="dxa" w:w="994"/>
            <w:tcMar>
              <w:top w:w="80" w:type="dxa"/>
              <w:bottom w:w="80" w:type="dxa"/>
              <w:left w:w="80" w:type="dxa"/>
              <w:right w:w="80" w:type="dxa"/>
            </w:tcMar>
            <w:vAlign w:val="center"/>
          </w:tcPr>
          <w:p>
            <w:pPr>
              <w:jc w:val="center"/>
            </w:pPr>
            <w:r>
              <w:rPr>
                <w:b/>
                <w:sz w:val="16"/>
              </w:rPr>
              <w:t>100,000</w:t>
            </w:r>
          </w:p>
        </w:tc>
        <w:tc>
          <w:tcPr>
            <w:tcW w:type="dxa" w:w="994"/>
            <w:tcMar>
              <w:top w:w="80" w:type="dxa"/>
              <w:bottom w:w="80" w:type="dxa"/>
              <w:left w:w="80" w:type="dxa"/>
              <w:right w:w="80" w:type="dxa"/>
            </w:tcMar>
            <w:vAlign w:val="center"/>
          </w:tcPr>
          <w:p>
            <w:pPr>
              <w:jc w:val="center"/>
            </w:pPr>
            <w:r>
              <w:rPr>
                <w:b/>
                <w:sz w:val="16"/>
              </w:rPr>
              <w:t>[Bidder Quote]</w:t>
            </w:r>
          </w:p>
        </w:tc>
        <w:tc>
          <w:tcPr>
            <w:tcW w:type="dxa" w:w="994"/>
            <w:tcMar>
              <w:top w:w="80" w:type="dxa"/>
              <w:bottom w:w="80" w:type="dxa"/>
              <w:left w:w="80" w:type="dxa"/>
              <w:right w:w="80" w:type="dxa"/>
            </w:tcMar>
            <w:vAlign w:val="center"/>
          </w:tcPr>
          <w:p>
            <w:pPr>
              <w:jc w:val="center"/>
            </w:pPr>
            <w:r>
              <w:rPr>
                <w:b/>
                <w:sz w:val="16"/>
              </w:rPr>
              <w:t>[Formula = USD * 55]</w:t>
            </w:r>
          </w:p>
        </w:tc>
        <w:tc>
          <w:tcPr>
            <w:tcW w:type="dxa" w:w="994"/>
            <w:tcMar>
              <w:top w:w="80" w:type="dxa"/>
              <w:bottom w:w="80" w:type="dxa"/>
              <w:left w:w="80" w:type="dxa"/>
              <w:right w:w="80" w:type="dxa"/>
            </w:tcMar>
            <w:vAlign w:val="center"/>
          </w:tcPr>
          <w:p>
            <w:r>
              <w:rPr>
                <w:sz w:val="16"/>
              </w:rPr>
              <w:t>100% upon fuel receipt voucher sign-off.</w:t>
            </w:r>
          </w:p>
        </w:tc>
        <w:tc>
          <w:tcPr>
            <w:tcW w:type="dxa" w:w="994"/>
            <w:tcMar>
              <w:top w:w="80" w:type="dxa"/>
              <w:bottom w:w="80" w:type="dxa"/>
              <w:left w:w="80" w:type="dxa"/>
              <w:right w:w="80" w:type="dxa"/>
            </w:tcMar>
            <w:vAlign w:val="center"/>
          </w:tcPr>
          <w:p>
            <w:r>
              <w:rPr>
                <w:sz w:val="16"/>
              </w:rPr>
              <w:t>Fuel Purchase Receipt &amp; Fuel Delivery Voucher</w:t>
            </w:r>
          </w:p>
        </w:tc>
      </w:tr>
    </w:tbl>
    <w:p>
      <w:r>
        <w:br w:type="page"/>
      </w:r>
    </w:p>
    <w:p>
      <w:pPr>
        <w:pStyle w:val="Heading1"/>
      </w:pPr>
      <w:r>
        <w:rPr>
          <w:b/>
          <w:color w:val="0F3460"/>
        </w:rPr>
        <w:t>5. SERVICE LEVEL AGREEMENTS (SLAS), SERVICE CREDITS &amp; GOVERNANCE</w:t>
      </w:r>
    </w:p>
    <w:p>
      <w:pPr>
        <w:spacing w:after="160"/>
      </w:pPr>
      <w:r>
        <w:t>Performance across turnkey rollout and operational Managed Services is governed strictly by audited metrics. Failure to meet contractual performance thresholds shall trigger liquidated damages or service credit deductions as defined below:</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987"/>
        <w:gridCol w:w="1987"/>
        <w:gridCol w:w="1987"/>
        <w:gridCol w:w="1987"/>
        <w:gridCol w:w="1987"/>
      </w:tblGrid>
      <w:tr>
        <w:tc>
          <w:tcPr>
            <w:tcW w:type="dxa" w:w="1987"/>
            <w:shd w:fill="0F3460"/>
            <w:tcMar>
              <w:top w:w="100" w:type="dxa"/>
              <w:bottom w:w="100" w:type="dxa"/>
              <w:left w:w="100" w:type="dxa"/>
              <w:right w:w="100" w:type="dxa"/>
            </w:tcMar>
          </w:tcPr>
          <w:p>
            <w:pPr>
              <w:jc w:val="center"/>
            </w:pPr>
            <w:r>
              <w:rPr>
                <w:b/>
                <w:color w:val="FFFFFF"/>
                <w:sz w:val="17"/>
              </w:rPr>
              <w:t>Domain</w:t>
            </w:r>
          </w:p>
        </w:tc>
        <w:tc>
          <w:tcPr>
            <w:tcW w:type="dxa" w:w="1987"/>
            <w:shd w:fill="0F3460"/>
            <w:tcMar>
              <w:top w:w="100" w:type="dxa"/>
              <w:bottom w:w="100" w:type="dxa"/>
              <w:left w:w="100" w:type="dxa"/>
              <w:right w:w="100" w:type="dxa"/>
            </w:tcMar>
          </w:tcPr>
          <w:p>
            <w:pPr>
              <w:jc w:val="center"/>
            </w:pPr>
            <w:r>
              <w:rPr>
                <w:b/>
                <w:color w:val="FFFFFF"/>
                <w:sz w:val="17"/>
              </w:rPr>
              <w:t>Metric Identifier</w:t>
            </w:r>
          </w:p>
        </w:tc>
        <w:tc>
          <w:tcPr>
            <w:tcW w:type="dxa" w:w="1987"/>
            <w:shd w:fill="0F3460"/>
            <w:tcMar>
              <w:top w:w="100" w:type="dxa"/>
              <w:bottom w:w="100" w:type="dxa"/>
              <w:left w:w="100" w:type="dxa"/>
              <w:right w:w="100" w:type="dxa"/>
            </w:tcMar>
          </w:tcPr>
          <w:p>
            <w:pPr>
              <w:jc w:val="center"/>
            </w:pPr>
            <w:r>
              <w:rPr>
                <w:b/>
                <w:color w:val="FFFFFF"/>
                <w:sz w:val="17"/>
              </w:rPr>
              <w:t>Mandatory SLA Target</w:t>
            </w:r>
          </w:p>
        </w:tc>
        <w:tc>
          <w:tcPr>
            <w:tcW w:type="dxa" w:w="1987"/>
            <w:shd w:fill="0F3460"/>
            <w:tcMar>
              <w:top w:w="100" w:type="dxa"/>
              <w:bottom w:w="100" w:type="dxa"/>
              <w:left w:w="100" w:type="dxa"/>
              <w:right w:w="100" w:type="dxa"/>
            </w:tcMar>
          </w:tcPr>
          <w:p>
            <w:pPr>
              <w:jc w:val="center"/>
            </w:pPr>
            <w:r>
              <w:rPr>
                <w:b/>
                <w:color w:val="FFFFFF"/>
                <w:sz w:val="17"/>
              </w:rPr>
              <w:t>Minimum Operating Floor</w:t>
            </w:r>
          </w:p>
        </w:tc>
        <w:tc>
          <w:tcPr>
            <w:tcW w:type="dxa" w:w="1987"/>
            <w:shd w:fill="0F3460"/>
            <w:tcMar>
              <w:top w:w="100" w:type="dxa"/>
              <w:bottom w:w="100" w:type="dxa"/>
              <w:left w:w="100" w:type="dxa"/>
              <w:right w:w="100" w:type="dxa"/>
            </w:tcMar>
          </w:tcPr>
          <w:p>
            <w:pPr>
              <w:jc w:val="center"/>
            </w:pPr>
            <w:r>
              <w:rPr>
                <w:b/>
                <w:color w:val="FFFFFF"/>
                <w:sz w:val="17"/>
              </w:rPr>
              <w:t>Service Credit / Liquidated Remedy</w:t>
            </w:r>
          </w:p>
        </w:tc>
      </w:tr>
      <w:tr>
        <w:tc>
          <w:tcPr>
            <w:tcW w:type="dxa" w:w="1987"/>
            <w:tcMar>
              <w:top w:w="80" w:type="dxa"/>
              <w:bottom w:w="80" w:type="dxa"/>
              <w:left w:w="80" w:type="dxa"/>
              <w:right w:w="80" w:type="dxa"/>
            </w:tcMar>
          </w:tcPr>
          <w:p>
            <w:r>
              <w:rPr>
                <w:b/>
                <w:sz w:val="16"/>
              </w:rPr>
              <w:t>Rollout Delivery</w:t>
            </w:r>
          </w:p>
        </w:tc>
        <w:tc>
          <w:tcPr>
            <w:tcW w:type="dxa" w:w="1987"/>
            <w:tcMar>
              <w:top w:w="80" w:type="dxa"/>
              <w:bottom w:w="80" w:type="dxa"/>
              <w:left w:w="80" w:type="dxa"/>
              <w:right w:w="80" w:type="dxa"/>
            </w:tcMar>
          </w:tcPr>
          <w:p>
            <w:pPr>
              <w:jc w:val="center"/>
            </w:pPr>
            <w:r>
              <w:rPr>
                <w:b/>
                <w:sz w:val="16"/>
              </w:rPr>
              <w:t>Turnkey Milestone Schedule</w:t>
            </w:r>
          </w:p>
        </w:tc>
        <w:tc>
          <w:tcPr>
            <w:tcW w:type="dxa" w:w="1987"/>
            <w:tcMar>
              <w:top w:w="80" w:type="dxa"/>
              <w:bottom w:w="80" w:type="dxa"/>
              <w:left w:w="80" w:type="dxa"/>
              <w:right w:w="80" w:type="dxa"/>
            </w:tcMar>
          </w:tcPr>
          <w:p>
            <w:pPr>
              <w:jc w:val="center"/>
            </w:pPr>
            <w:r>
              <w:rPr>
                <w:sz w:val="16"/>
              </w:rPr>
              <w:t>1,000 sites in 365 Days</w:t>
            </w:r>
          </w:p>
        </w:tc>
        <w:tc>
          <w:tcPr>
            <w:tcW w:type="dxa" w:w="1987"/>
            <w:tcMar>
              <w:top w:w="80" w:type="dxa"/>
              <w:bottom w:w="80" w:type="dxa"/>
              <w:left w:w="80" w:type="dxa"/>
              <w:right w:w="80" w:type="dxa"/>
            </w:tcMar>
          </w:tcPr>
          <w:p>
            <w:pPr>
              <w:jc w:val="center"/>
            </w:pPr>
            <w:r>
              <w:rPr>
                <w:sz w:val="16"/>
              </w:rPr>
              <w:t>Milestone baseline</w:t>
            </w:r>
          </w:p>
        </w:tc>
        <w:tc>
          <w:tcPr>
            <w:tcW w:type="dxa" w:w="1987"/>
            <w:tcMar>
              <w:top w:w="80" w:type="dxa"/>
              <w:bottom w:w="80" w:type="dxa"/>
              <w:left w:w="80" w:type="dxa"/>
              <w:right w:w="80" w:type="dxa"/>
            </w:tcMar>
          </w:tcPr>
          <w:p>
            <w:r>
              <w:rPr>
                <w:sz w:val="16"/>
              </w:rPr>
              <w:t>0.5% milestone value per week of delay (cap 10%)</w:t>
            </w:r>
          </w:p>
        </w:tc>
      </w:tr>
      <w:tr>
        <w:tc>
          <w:tcPr>
            <w:tcW w:type="dxa" w:w="1987"/>
            <w:tcMar>
              <w:top w:w="80" w:type="dxa"/>
              <w:bottom w:w="80" w:type="dxa"/>
              <w:left w:w="80" w:type="dxa"/>
              <w:right w:w="80" w:type="dxa"/>
            </w:tcMar>
          </w:tcPr>
          <w:p>
            <w:r>
              <w:rPr>
                <w:b/>
                <w:sz w:val="16"/>
              </w:rPr>
              <w:t>Radio Availability</w:t>
            </w:r>
          </w:p>
        </w:tc>
        <w:tc>
          <w:tcPr>
            <w:tcW w:type="dxa" w:w="1987"/>
            <w:tcMar>
              <w:top w:w="80" w:type="dxa"/>
              <w:bottom w:w="80" w:type="dxa"/>
              <w:left w:w="80" w:type="dxa"/>
              <w:right w:w="80" w:type="dxa"/>
            </w:tcMar>
          </w:tcPr>
          <w:p>
            <w:pPr>
              <w:jc w:val="center"/>
            </w:pPr>
            <w:r>
              <w:rPr>
                <w:b/>
                <w:sz w:val="16"/>
              </w:rPr>
              <w:t>KPI-RAN-01 Network Uptime</w:t>
            </w:r>
          </w:p>
        </w:tc>
        <w:tc>
          <w:tcPr>
            <w:tcW w:type="dxa" w:w="1987"/>
            <w:tcMar>
              <w:top w:w="80" w:type="dxa"/>
              <w:bottom w:w="80" w:type="dxa"/>
              <w:left w:w="80" w:type="dxa"/>
              <w:right w:w="80" w:type="dxa"/>
            </w:tcMar>
          </w:tcPr>
          <w:p>
            <w:pPr>
              <w:jc w:val="center"/>
            </w:pPr>
            <w:r>
              <w:rPr>
                <w:sz w:val="16"/>
              </w:rPr>
              <w:t>&gt;= 99.95% Availability</w:t>
            </w:r>
          </w:p>
        </w:tc>
        <w:tc>
          <w:tcPr>
            <w:tcW w:type="dxa" w:w="1987"/>
            <w:tcMar>
              <w:top w:w="80" w:type="dxa"/>
              <w:bottom w:w="80" w:type="dxa"/>
              <w:left w:w="80" w:type="dxa"/>
              <w:right w:w="80" w:type="dxa"/>
            </w:tcMar>
          </w:tcPr>
          <w:p>
            <w:pPr>
              <w:jc w:val="center"/>
            </w:pPr>
            <w:r>
              <w:rPr>
                <w:sz w:val="16"/>
              </w:rPr>
              <w:t>99.70% Minimum</w:t>
            </w:r>
          </w:p>
        </w:tc>
        <w:tc>
          <w:tcPr>
            <w:tcW w:type="dxa" w:w="1987"/>
            <w:tcMar>
              <w:top w:w="80" w:type="dxa"/>
              <w:bottom w:w="80" w:type="dxa"/>
              <w:left w:w="80" w:type="dxa"/>
              <w:right w:w="80" w:type="dxa"/>
            </w:tcMar>
          </w:tcPr>
          <w:p>
            <w:r>
              <w:rPr>
                <w:sz w:val="16"/>
              </w:rPr>
              <w:t>1.0% monthly O&amp;M fee deduction per 0.1% shortfall</w:t>
            </w:r>
          </w:p>
        </w:tc>
      </w:tr>
      <w:tr>
        <w:tc>
          <w:tcPr>
            <w:tcW w:type="dxa" w:w="1987"/>
            <w:tcMar>
              <w:top w:w="80" w:type="dxa"/>
              <w:bottom w:w="80" w:type="dxa"/>
              <w:left w:w="80" w:type="dxa"/>
              <w:right w:w="80" w:type="dxa"/>
            </w:tcMar>
          </w:tcPr>
          <w:p>
            <w:r>
              <w:rPr>
                <w:b/>
                <w:sz w:val="16"/>
              </w:rPr>
              <w:t>Call Accessibility</w:t>
            </w:r>
          </w:p>
        </w:tc>
        <w:tc>
          <w:tcPr>
            <w:tcW w:type="dxa" w:w="1987"/>
            <w:tcMar>
              <w:top w:w="80" w:type="dxa"/>
              <w:bottom w:w="80" w:type="dxa"/>
              <w:left w:w="80" w:type="dxa"/>
              <w:right w:w="80" w:type="dxa"/>
            </w:tcMar>
          </w:tcPr>
          <w:p>
            <w:pPr>
              <w:jc w:val="center"/>
            </w:pPr>
            <w:r>
              <w:rPr>
                <w:b/>
                <w:sz w:val="16"/>
              </w:rPr>
              <w:t>KPI-RAN-02 5G Session CSSR</w:t>
            </w:r>
          </w:p>
        </w:tc>
        <w:tc>
          <w:tcPr>
            <w:tcW w:type="dxa" w:w="1987"/>
            <w:tcMar>
              <w:top w:w="80" w:type="dxa"/>
              <w:bottom w:w="80" w:type="dxa"/>
              <w:left w:w="80" w:type="dxa"/>
              <w:right w:w="80" w:type="dxa"/>
            </w:tcMar>
          </w:tcPr>
          <w:p>
            <w:pPr>
              <w:jc w:val="center"/>
            </w:pPr>
            <w:r>
              <w:rPr>
                <w:sz w:val="16"/>
              </w:rPr>
              <w:t>&gt;= 99.60% Success</w:t>
            </w:r>
          </w:p>
        </w:tc>
        <w:tc>
          <w:tcPr>
            <w:tcW w:type="dxa" w:w="1987"/>
            <w:tcMar>
              <w:top w:w="80" w:type="dxa"/>
              <w:bottom w:w="80" w:type="dxa"/>
              <w:left w:w="80" w:type="dxa"/>
              <w:right w:w="80" w:type="dxa"/>
            </w:tcMar>
          </w:tcPr>
          <w:p>
            <w:pPr>
              <w:jc w:val="center"/>
            </w:pPr>
            <w:r>
              <w:rPr>
                <w:sz w:val="16"/>
              </w:rPr>
              <w:t>99.00% Minimum</w:t>
            </w:r>
          </w:p>
        </w:tc>
        <w:tc>
          <w:tcPr>
            <w:tcW w:type="dxa" w:w="1987"/>
            <w:tcMar>
              <w:top w:w="80" w:type="dxa"/>
              <w:bottom w:w="80" w:type="dxa"/>
              <w:left w:w="80" w:type="dxa"/>
              <w:right w:w="80" w:type="dxa"/>
            </w:tcMar>
          </w:tcPr>
          <w:p>
            <w:r>
              <w:rPr>
                <w:sz w:val="16"/>
              </w:rPr>
              <w:t>0.5% monthly O&amp;M fee deduction per 0.2% shortfall</w:t>
            </w:r>
          </w:p>
        </w:tc>
      </w:tr>
      <w:tr>
        <w:tc>
          <w:tcPr>
            <w:tcW w:type="dxa" w:w="1987"/>
            <w:tcMar>
              <w:top w:w="80" w:type="dxa"/>
              <w:bottom w:w="80" w:type="dxa"/>
              <w:left w:w="80" w:type="dxa"/>
              <w:right w:w="80" w:type="dxa"/>
            </w:tcMar>
          </w:tcPr>
          <w:p>
            <w:r>
              <w:rPr>
                <w:b/>
                <w:sz w:val="16"/>
              </w:rPr>
              <w:t>Call Retainability</w:t>
            </w:r>
          </w:p>
        </w:tc>
        <w:tc>
          <w:tcPr>
            <w:tcW w:type="dxa" w:w="1987"/>
            <w:tcMar>
              <w:top w:w="80" w:type="dxa"/>
              <w:bottom w:w="80" w:type="dxa"/>
              <w:left w:w="80" w:type="dxa"/>
              <w:right w:w="80" w:type="dxa"/>
            </w:tcMar>
          </w:tcPr>
          <w:p>
            <w:pPr>
              <w:jc w:val="center"/>
            </w:pPr>
            <w:r>
              <w:rPr>
                <w:b/>
                <w:sz w:val="16"/>
              </w:rPr>
              <w:t>KPI-RAN-03 Session Drop CDDR</w:t>
            </w:r>
          </w:p>
        </w:tc>
        <w:tc>
          <w:tcPr>
            <w:tcW w:type="dxa" w:w="1987"/>
            <w:tcMar>
              <w:top w:w="80" w:type="dxa"/>
              <w:bottom w:w="80" w:type="dxa"/>
              <w:left w:w="80" w:type="dxa"/>
              <w:right w:w="80" w:type="dxa"/>
            </w:tcMar>
          </w:tcPr>
          <w:p>
            <w:pPr>
              <w:jc w:val="center"/>
            </w:pPr>
            <w:r>
              <w:rPr>
                <w:sz w:val="16"/>
              </w:rPr>
              <w:t>&lt;= 0.15% Drops</w:t>
            </w:r>
          </w:p>
        </w:tc>
        <w:tc>
          <w:tcPr>
            <w:tcW w:type="dxa" w:w="1987"/>
            <w:tcMar>
              <w:top w:w="80" w:type="dxa"/>
              <w:bottom w:w="80" w:type="dxa"/>
              <w:left w:w="80" w:type="dxa"/>
              <w:right w:w="80" w:type="dxa"/>
            </w:tcMar>
          </w:tcPr>
          <w:p>
            <w:pPr>
              <w:jc w:val="center"/>
            </w:pPr>
            <w:r>
              <w:rPr>
                <w:sz w:val="16"/>
              </w:rPr>
              <w:t>0.50% Maximum</w:t>
            </w:r>
          </w:p>
        </w:tc>
        <w:tc>
          <w:tcPr>
            <w:tcW w:type="dxa" w:w="1987"/>
            <w:tcMar>
              <w:top w:w="80" w:type="dxa"/>
              <w:bottom w:w="80" w:type="dxa"/>
              <w:left w:w="80" w:type="dxa"/>
              <w:right w:w="80" w:type="dxa"/>
            </w:tcMar>
          </w:tcPr>
          <w:p>
            <w:r>
              <w:rPr>
                <w:sz w:val="16"/>
              </w:rPr>
              <w:t>0.5% monthly O&amp;M fee deduction per 0.1% excess</w:t>
            </w:r>
          </w:p>
        </w:tc>
      </w:tr>
      <w:tr>
        <w:tc>
          <w:tcPr>
            <w:tcW w:type="dxa" w:w="1987"/>
            <w:tcMar>
              <w:top w:w="80" w:type="dxa"/>
              <w:bottom w:w="80" w:type="dxa"/>
              <w:left w:w="80" w:type="dxa"/>
              <w:right w:w="80" w:type="dxa"/>
            </w:tcMar>
          </w:tcPr>
          <w:p>
            <w:r>
              <w:rPr>
                <w:b/>
                <w:sz w:val="16"/>
              </w:rPr>
              <w:t>Cluster Throughput</w:t>
            </w:r>
          </w:p>
        </w:tc>
        <w:tc>
          <w:tcPr>
            <w:tcW w:type="dxa" w:w="1987"/>
            <w:tcMar>
              <w:top w:w="80" w:type="dxa"/>
              <w:bottom w:w="80" w:type="dxa"/>
              <w:left w:w="80" w:type="dxa"/>
              <w:right w:w="80" w:type="dxa"/>
            </w:tcMar>
          </w:tcPr>
          <w:p>
            <w:pPr>
              <w:jc w:val="center"/>
            </w:pPr>
            <w:r>
              <w:rPr>
                <w:b/>
                <w:sz w:val="16"/>
              </w:rPr>
              <w:t>KPI-RAN-04 Loaded Sector DL</w:t>
            </w:r>
          </w:p>
        </w:tc>
        <w:tc>
          <w:tcPr>
            <w:tcW w:type="dxa" w:w="1987"/>
            <w:tcMar>
              <w:top w:w="80" w:type="dxa"/>
              <w:bottom w:w="80" w:type="dxa"/>
              <w:left w:w="80" w:type="dxa"/>
              <w:right w:w="80" w:type="dxa"/>
            </w:tcMar>
          </w:tcPr>
          <w:p>
            <w:pPr>
              <w:jc w:val="center"/>
            </w:pPr>
            <w:r>
              <w:rPr>
                <w:sz w:val="16"/>
              </w:rPr>
              <w:t>&gt;= 450 Mbps Average</w:t>
            </w:r>
          </w:p>
        </w:tc>
        <w:tc>
          <w:tcPr>
            <w:tcW w:type="dxa" w:w="1987"/>
            <w:tcMar>
              <w:top w:w="80" w:type="dxa"/>
              <w:bottom w:w="80" w:type="dxa"/>
              <w:left w:w="80" w:type="dxa"/>
              <w:right w:w="80" w:type="dxa"/>
            </w:tcMar>
          </w:tcPr>
          <w:p>
            <w:pPr>
              <w:jc w:val="center"/>
            </w:pPr>
            <w:r>
              <w:rPr>
                <w:sz w:val="16"/>
              </w:rPr>
              <w:t>380 Mbps Floor</w:t>
            </w:r>
          </w:p>
        </w:tc>
        <w:tc>
          <w:tcPr>
            <w:tcW w:type="dxa" w:w="1987"/>
            <w:tcMar>
              <w:top w:w="80" w:type="dxa"/>
              <w:bottom w:w="80" w:type="dxa"/>
              <w:left w:w="80" w:type="dxa"/>
              <w:right w:w="80" w:type="dxa"/>
            </w:tcMar>
          </w:tcPr>
          <w:p>
            <w:r>
              <w:rPr>
                <w:sz w:val="16"/>
              </w:rPr>
              <w:t>Mandatory RF re-tuning &amp; re-drive within 5 days</w:t>
            </w:r>
          </w:p>
        </w:tc>
      </w:tr>
      <w:tr>
        <w:tc>
          <w:tcPr>
            <w:tcW w:type="dxa" w:w="1987"/>
            <w:tcMar>
              <w:top w:w="80" w:type="dxa"/>
              <w:bottom w:w="80" w:type="dxa"/>
              <w:left w:w="80" w:type="dxa"/>
              <w:right w:w="80" w:type="dxa"/>
            </w:tcMar>
          </w:tcPr>
          <w:p>
            <w:r>
              <w:rPr>
                <w:b/>
                <w:sz w:val="16"/>
              </w:rPr>
              <w:t>Cell-Edge Speed</w:t>
            </w:r>
          </w:p>
        </w:tc>
        <w:tc>
          <w:tcPr>
            <w:tcW w:type="dxa" w:w="1987"/>
            <w:tcMar>
              <w:top w:w="80" w:type="dxa"/>
              <w:bottom w:w="80" w:type="dxa"/>
              <w:left w:w="80" w:type="dxa"/>
              <w:right w:w="80" w:type="dxa"/>
            </w:tcMar>
          </w:tcPr>
          <w:p>
            <w:pPr>
              <w:jc w:val="center"/>
            </w:pPr>
            <w:r>
              <w:rPr>
                <w:b/>
                <w:sz w:val="16"/>
              </w:rPr>
              <w:t>KPI-RAN-05 Cell-Edge DL Speed</w:t>
            </w:r>
          </w:p>
        </w:tc>
        <w:tc>
          <w:tcPr>
            <w:tcW w:type="dxa" w:w="1987"/>
            <w:tcMar>
              <w:top w:w="80" w:type="dxa"/>
              <w:bottom w:w="80" w:type="dxa"/>
              <w:left w:w="80" w:type="dxa"/>
              <w:right w:w="80" w:type="dxa"/>
            </w:tcMar>
          </w:tcPr>
          <w:p>
            <w:pPr>
              <w:jc w:val="center"/>
            </w:pPr>
            <w:r>
              <w:rPr>
                <w:sz w:val="16"/>
              </w:rPr>
              <w:t>&gt;= 50 Mbps DL (95% pts)</w:t>
            </w:r>
          </w:p>
        </w:tc>
        <w:tc>
          <w:tcPr>
            <w:tcW w:type="dxa" w:w="1987"/>
            <w:tcMar>
              <w:top w:w="80" w:type="dxa"/>
              <w:bottom w:w="80" w:type="dxa"/>
              <w:left w:w="80" w:type="dxa"/>
              <w:right w:w="80" w:type="dxa"/>
            </w:tcMar>
          </w:tcPr>
          <w:p>
            <w:pPr>
              <w:jc w:val="center"/>
            </w:pPr>
            <w:r>
              <w:rPr>
                <w:sz w:val="16"/>
              </w:rPr>
              <w:t>25 Mbps Floor</w:t>
            </w:r>
          </w:p>
        </w:tc>
        <w:tc>
          <w:tcPr>
            <w:tcW w:type="dxa" w:w="1987"/>
            <w:tcMar>
              <w:top w:w="80" w:type="dxa"/>
              <w:bottom w:w="80" w:type="dxa"/>
              <w:left w:w="80" w:type="dxa"/>
              <w:right w:w="80" w:type="dxa"/>
            </w:tcMar>
          </w:tcPr>
          <w:p>
            <w:r>
              <w:rPr>
                <w:sz w:val="16"/>
              </w:rPr>
              <w:t>Mandatory eRET electrical tilt re-optimization</w:t>
            </w:r>
          </w:p>
        </w:tc>
      </w:tr>
      <w:tr>
        <w:tc>
          <w:tcPr>
            <w:tcW w:type="dxa" w:w="1987"/>
            <w:tcMar>
              <w:top w:w="80" w:type="dxa"/>
              <w:bottom w:w="80" w:type="dxa"/>
              <w:left w:w="80" w:type="dxa"/>
              <w:right w:w="80" w:type="dxa"/>
            </w:tcMar>
          </w:tcPr>
          <w:p>
            <w:r>
              <w:rPr>
                <w:b/>
                <w:sz w:val="16"/>
              </w:rPr>
              <w:t>FLM Restoration</w:t>
            </w:r>
          </w:p>
        </w:tc>
        <w:tc>
          <w:tcPr>
            <w:tcW w:type="dxa" w:w="1987"/>
            <w:tcMar>
              <w:top w:w="80" w:type="dxa"/>
              <w:bottom w:w="80" w:type="dxa"/>
              <w:left w:w="80" w:type="dxa"/>
              <w:right w:w="80" w:type="dxa"/>
            </w:tcMar>
          </w:tcPr>
          <w:p>
            <w:pPr>
              <w:jc w:val="center"/>
            </w:pPr>
            <w:r>
              <w:rPr>
                <w:b/>
                <w:sz w:val="16"/>
              </w:rPr>
              <w:t>MTTR Severity 1 (Urban)</w:t>
            </w:r>
          </w:p>
        </w:tc>
        <w:tc>
          <w:tcPr>
            <w:tcW w:type="dxa" w:w="1987"/>
            <w:tcMar>
              <w:top w:w="80" w:type="dxa"/>
              <w:bottom w:w="80" w:type="dxa"/>
              <w:left w:w="80" w:type="dxa"/>
              <w:right w:w="80" w:type="dxa"/>
            </w:tcMar>
          </w:tcPr>
          <w:p>
            <w:pPr>
              <w:jc w:val="center"/>
            </w:pPr>
            <w:r>
              <w:rPr>
                <w:sz w:val="16"/>
              </w:rPr>
              <w:t>&lt;= 2.0 Hours MTTR</w:t>
            </w:r>
          </w:p>
        </w:tc>
        <w:tc>
          <w:tcPr>
            <w:tcW w:type="dxa" w:w="1987"/>
            <w:tcMar>
              <w:top w:w="80" w:type="dxa"/>
              <w:bottom w:w="80" w:type="dxa"/>
              <w:left w:w="80" w:type="dxa"/>
              <w:right w:w="80" w:type="dxa"/>
            </w:tcMar>
          </w:tcPr>
          <w:p>
            <w:pPr>
              <w:jc w:val="center"/>
            </w:pPr>
            <w:r>
              <w:rPr>
                <w:sz w:val="16"/>
              </w:rPr>
              <w:t>2.0 Hours</w:t>
            </w:r>
          </w:p>
        </w:tc>
        <w:tc>
          <w:tcPr>
            <w:tcW w:type="dxa" w:w="1987"/>
            <w:tcMar>
              <w:top w:w="80" w:type="dxa"/>
              <w:bottom w:w="80" w:type="dxa"/>
              <w:left w:w="80" w:type="dxa"/>
              <w:right w:w="80" w:type="dxa"/>
            </w:tcMar>
          </w:tcPr>
          <w:p>
            <w:r>
              <w:rPr>
                <w:sz w:val="16"/>
              </w:rPr>
              <w:t>0.5% monthly site fee per hour delay beyond MTTR</w:t>
            </w:r>
          </w:p>
        </w:tc>
      </w:tr>
      <w:tr>
        <w:tc>
          <w:tcPr>
            <w:tcW w:type="dxa" w:w="1987"/>
            <w:tcMar>
              <w:top w:w="80" w:type="dxa"/>
              <w:bottom w:w="80" w:type="dxa"/>
              <w:left w:w="80" w:type="dxa"/>
              <w:right w:w="80" w:type="dxa"/>
            </w:tcMar>
          </w:tcPr>
          <w:p>
            <w:r>
              <w:rPr>
                <w:b/>
                <w:sz w:val="16"/>
              </w:rPr>
              <w:t>FLM Restoration</w:t>
            </w:r>
          </w:p>
        </w:tc>
        <w:tc>
          <w:tcPr>
            <w:tcW w:type="dxa" w:w="1987"/>
            <w:tcMar>
              <w:top w:w="80" w:type="dxa"/>
              <w:bottom w:w="80" w:type="dxa"/>
              <w:left w:w="80" w:type="dxa"/>
              <w:right w:w="80" w:type="dxa"/>
            </w:tcMar>
          </w:tcPr>
          <w:p>
            <w:pPr>
              <w:jc w:val="center"/>
            </w:pPr>
            <w:r>
              <w:rPr>
                <w:b/>
                <w:sz w:val="16"/>
              </w:rPr>
              <w:t>MTTR Severity 1 (Rural)</w:t>
            </w:r>
          </w:p>
        </w:tc>
        <w:tc>
          <w:tcPr>
            <w:tcW w:type="dxa" w:w="1987"/>
            <w:tcMar>
              <w:top w:w="80" w:type="dxa"/>
              <w:bottom w:w="80" w:type="dxa"/>
              <w:left w:w="80" w:type="dxa"/>
              <w:right w:w="80" w:type="dxa"/>
            </w:tcMar>
          </w:tcPr>
          <w:p>
            <w:pPr>
              <w:jc w:val="center"/>
            </w:pPr>
            <w:r>
              <w:rPr>
                <w:sz w:val="16"/>
              </w:rPr>
              <w:t>&lt;= 4.0 Hours MTTR</w:t>
            </w:r>
          </w:p>
        </w:tc>
        <w:tc>
          <w:tcPr>
            <w:tcW w:type="dxa" w:w="1987"/>
            <w:tcMar>
              <w:top w:w="80" w:type="dxa"/>
              <w:bottom w:w="80" w:type="dxa"/>
              <w:left w:w="80" w:type="dxa"/>
              <w:right w:w="80" w:type="dxa"/>
            </w:tcMar>
          </w:tcPr>
          <w:p>
            <w:pPr>
              <w:jc w:val="center"/>
            </w:pPr>
            <w:r>
              <w:rPr>
                <w:sz w:val="16"/>
              </w:rPr>
              <w:t>4.0 Hours</w:t>
            </w:r>
          </w:p>
        </w:tc>
        <w:tc>
          <w:tcPr>
            <w:tcW w:type="dxa" w:w="1987"/>
            <w:tcMar>
              <w:top w:w="80" w:type="dxa"/>
              <w:bottom w:w="80" w:type="dxa"/>
              <w:left w:w="80" w:type="dxa"/>
              <w:right w:w="80" w:type="dxa"/>
            </w:tcMar>
          </w:tcPr>
          <w:p>
            <w:r>
              <w:rPr>
                <w:sz w:val="16"/>
              </w:rPr>
              <w:t>0.25% monthly site fee per hour delay beyond MTTR</w:t>
            </w:r>
          </w:p>
        </w:tc>
      </w:tr>
      <w:tr>
        <w:tc>
          <w:tcPr>
            <w:tcW w:type="dxa" w:w="1987"/>
            <w:tcMar>
              <w:top w:w="80" w:type="dxa"/>
              <w:bottom w:w="80" w:type="dxa"/>
              <w:left w:w="80" w:type="dxa"/>
              <w:right w:w="80" w:type="dxa"/>
            </w:tcMar>
          </w:tcPr>
          <w:p>
            <w:r>
              <w:rPr>
                <w:b/>
                <w:sz w:val="16"/>
              </w:rPr>
              <w:t>Preventive Maint.</w:t>
            </w:r>
          </w:p>
        </w:tc>
        <w:tc>
          <w:tcPr>
            <w:tcW w:type="dxa" w:w="1987"/>
            <w:tcMar>
              <w:top w:w="80" w:type="dxa"/>
              <w:bottom w:w="80" w:type="dxa"/>
              <w:left w:w="80" w:type="dxa"/>
              <w:right w:w="80" w:type="dxa"/>
            </w:tcMar>
          </w:tcPr>
          <w:p>
            <w:pPr>
              <w:jc w:val="center"/>
            </w:pPr>
            <w:r>
              <w:rPr>
                <w:b/>
                <w:sz w:val="16"/>
              </w:rPr>
              <w:t>Quarterly PM Completion</w:t>
            </w:r>
          </w:p>
        </w:tc>
        <w:tc>
          <w:tcPr>
            <w:tcW w:type="dxa" w:w="1987"/>
            <w:tcMar>
              <w:top w:w="80" w:type="dxa"/>
              <w:bottom w:w="80" w:type="dxa"/>
              <w:left w:w="80" w:type="dxa"/>
              <w:right w:w="80" w:type="dxa"/>
            </w:tcMar>
          </w:tcPr>
          <w:p>
            <w:pPr>
              <w:jc w:val="center"/>
            </w:pPr>
            <w:r>
              <w:rPr>
                <w:sz w:val="16"/>
              </w:rPr>
              <w:t>100% Completed p.a.</w:t>
            </w:r>
          </w:p>
        </w:tc>
        <w:tc>
          <w:tcPr>
            <w:tcW w:type="dxa" w:w="1987"/>
            <w:tcMar>
              <w:top w:w="80" w:type="dxa"/>
              <w:bottom w:w="80" w:type="dxa"/>
              <w:left w:w="80" w:type="dxa"/>
              <w:right w:w="80" w:type="dxa"/>
            </w:tcMar>
          </w:tcPr>
          <w:p>
            <w:pPr>
              <w:jc w:val="center"/>
            </w:pPr>
            <w:r>
              <w:rPr>
                <w:sz w:val="16"/>
              </w:rPr>
              <w:t>98.0% Floor</w:t>
            </w:r>
          </w:p>
        </w:tc>
        <w:tc>
          <w:tcPr>
            <w:tcW w:type="dxa" w:w="1987"/>
            <w:tcMar>
              <w:top w:w="80" w:type="dxa"/>
              <w:bottom w:w="80" w:type="dxa"/>
              <w:left w:w="80" w:type="dxa"/>
              <w:right w:w="80" w:type="dxa"/>
            </w:tcMar>
          </w:tcPr>
          <w:p>
            <w:r>
              <w:rPr>
                <w:sz w:val="16"/>
              </w:rPr>
              <w:t>Uncompleted site PMs debited 200% of line item rate</w:t>
            </w:r>
          </w:p>
        </w:tc>
      </w:tr>
      <w:tr>
        <w:tc>
          <w:tcPr>
            <w:tcW w:type="dxa" w:w="1987"/>
            <w:tcMar>
              <w:top w:w="80" w:type="dxa"/>
              <w:bottom w:w="80" w:type="dxa"/>
              <w:left w:w="80" w:type="dxa"/>
              <w:right w:w="80" w:type="dxa"/>
            </w:tcMar>
          </w:tcPr>
          <w:p>
            <w:r>
              <w:rPr>
                <w:b/>
                <w:sz w:val="16"/>
              </w:rPr>
              <w:t>Spare Parts Logistics</w:t>
            </w:r>
          </w:p>
        </w:tc>
        <w:tc>
          <w:tcPr>
            <w:tcW w:type="dxa" w:w="1987"/>
            <w:tcMar>
              <w:top w:w="80" w:type="dxa"/>
              <w:bottom w:w="80" w:type="dxa"/>
              <w:left w:w="80" w:type="dxa"/>
              <w:right w:w="80" w:type="dxa"/>
            </w:tcMar>
          </w:tcPr>
          <w:p>
            <w:pPr>
              <w:jc w:val="center"/>
            </w:pPr>
            <w:r>
              <w:rPr>
                <w:b/>
                <w:sz w:val="16"/>
              </w:rPr>
              <w:t>Advance Replacement (AHR)</w:t>
            </w:r>
          </w:p>
        </w:tc>
        <w:tc>
          <w:tcPr>
            <w:tcW w:type="dxa" w:w="1987"/>
            <w:tcMar>
              <w:top w:w="80" w:type="dxa"/>
              <w:bottom w:w="80" w:type="dxa"/>
              <w:left w:w="80" w:type="dxa"/>
              <w:right w:w="80" w:type="dxa"/>
            </w:tcMar>
          </w:tcPr>
          <w:p>
            <w:pPr>
              <w:jc w:val="center"/>
            </w:pPr>
            <w:r>
              <w:rPr>
                <w:sz w:val="16"/>
              </w:rPr>
              <w:t>Next Business Day (NBD)</w:t>
            </w:r>
          </w:p>
        </w:tc>
        <w:tc>
          <w:tcPr>
            <w:tcW w:type="dxa" w:w="1987"/>
            <w:tcMar>
              <w:top w:w="80" w:type="dxa"/>
              <w:bottom w:w="80" w:type="dxa"/>
              <w:left w:w="80" w:type="dxa"/>
              <w:right w:w="80" w:type="dxa"/>
            </w:tcMar>
          </w:tcPr>
          <w:p>
            <w:pPr>
              <w:jc w:val="center"/>
            </w:pPr>
            <w:r>
              <w:rPr>
                <w:sz w:val="16"/>
              </w:rPr>
              <w:t>NBD Standard</w:t>
            </w:r>
          </w:p>
        </w:tc>
        <w:tc>
          <w:tcPr>
            <w:tcW w:type="dxa" w:w="1987"/>
            <w:tcMar>
              <w:top w:w="80" w:type="dxa"/>
              <w:bottom w:w="80" w:type="dxa"/>
              <w:left w:w="80" w:type="dxa"/>
              <w:right w:w="80" w:type="dxa"/>
            </w:tcMar>
          </w:tcPr>
          <w:p>
            <w:r>
              <w:rPr>
                <w:sz w:val="16"/>
              </w:rPr>
              <w:t>$250 USD penalty per calendar day delay in AHR delivery</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