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Calibri" w:hAnsi="Calibri"/>
          <w:b/>
          <w:color w:val="2E74B5"/>
          <w:sz w:val="19"/>
        </w:rPr>
        <w:t>SUPERVISOR MEETING BRIEF</w:t>
      </w:r>
    </w:p>
    <w:p>
      <w:pPr>
        <w:spacing w:after="100"/>
      </w:pPr>
      <w:r>
        <w:rPr>
          <w:rFonts w:ascii="Calibri" w:hAnsi="Calibri"/>
          <w:b/>
          <w:color w:val="17365D"/>
          <w:sz w:val="46"/>
        </w:rPr>
        <w:t>Technical Evidence for a Local Engineering AI Assistant</w:t>
      </w:r>
    </w:p>
    <w:p>
      <w:pPr>
        <w:spacing w:after="280"/>
      </w:pPr>
      <w:r>
        <w:rPr>
          <w:rFonts w:ascii="Calibri" w:hAnsi="Calibri"/>
          <w:color w:val="667085"/>
          <w:sz w:val="25"/>
        </w:rPr>
        <w:t>Shock-mount selection: local LLM, deterministic tools and local RAG</w:t>
      </w:r>
    </w:p>
    <w:p>
      <w:pPr>
        <w:spacing w:after="40"/>
      </w:pPr>
      <w:r>
        <w:rPr>
          <w:rFonts w:ascii="Calibri" w:hAnsi="Calibri"/>
          <w:b/>
          <w:color w:val="17365D"/>
          <w:sz w:val="20"/>
        </w:rPr>
        <w:t xml:space="preserve">Purpose: </w:t>
      </w:r>
      <w:r>
        <w:rPr>
          <w:rFonts w:ascii="Calibri" w:hAnsi="Calibri"/>
          <w:color w:val="344054"/>
          <w:sz w:val="20"/>
        </w:rPr>
        <w:t>Confirm research value, dataset design and the next adaptation experiment</w:t>
      </w:r>
    </w:p>
    <w:p>
      <w:pPr>
        <w:spacing w:after="40"/>
      </w:pPr>
      <w:r>
        <w:rPr>
          <w:rFonts w:ascii="Calibri" w:hAnsi="Calibri"/>
          <w:b/>
          <w:color w:val="17365D"/>
          <w:sz w:val="20"/>
        </w:rPr>
        <w:t xml:space="preserve">Meeting: </w:t>
      </w:r>
      <w:r>
        <w:rPr>
          <w:rFonts w:ascii="Calibri" w:hAnsi="Calibri"/>
          <w:color w:val="344054"/>
          <w:sz w:val="20"/>
        </w:rPr>
        <w:t>FYP supervisor review</w:t>
      </w:r>
    </w:p>
    <w:p>
      <w:pPr>
        <w:spacing w:after="40"/>
      </w:pPr>
      <w:r>
        <w:rPr>
          <w:rFonts w:ascii="Calibri" w:hAnsi="Calibri"/>
          <w:b/>
          <w:color w:val="17365D"/>
          <w:sz w:val="20"/>
        </w:rPr>
        <w:t xml:space="preserve">Date: </w:t>
      </w:r>
      <w:r>
        <w:rPr>
          <w:rFonts w:ascii="Calibri" w:hAnsi="Calibri"/>
          <w:color w:val="344054"/>
          <w:sz w:val="20"/>
        </w:rPr>
        <w:t>17 July 2026</w:t>
      </w:r>
    </w:p>
    <w:p>
      <w:pPr>
        <w:spacing w:after="40"/>
      </w:pPr>
      <w:r>
        <w:rPr>
          <w:rFonts w:ascii="Calibri" w:hAnsi="Calibri"/>
          <w:b/>
          <w:color w:val="17365D"/>
          <w:sz w:val="20"/>
        </w:rPr>
        <w:t xml:space="preserve">Current status: </w:t>
      </w:r>
      <w:r>
        <w:rPr>
          <w:rFonts w:ascii="Calibri" w:hAnsi="Calibri"/>
          <w:color w:val="344054"/>
          <w:sz w:val="20"/>
        </w:rPr>
        <w:t>Local model and embedder selected; 170-case B/C/D evaluation completed</w:t>
      </w:r>
    </w:p>
    <w:p>
      <w:pPr>
        <w:pStyle w:val="TechnicalNote"/>
        <w:shd w:fill="EAF2F8"/>
        <w:pBdr>
          <w:left w:val="single" w:sz="16" w:space="8" w:color="2E74B5"/>
        </w:pBdr>
      </w:pPr>
      <w:r>
        <w:rPr>
          <w:rFonts w:ascii="Calibri" w:hAnsi="Calibri"/>
          <w:b/>
          <w:color w:val="17365D"/>
        </w:rPr>
        <w:t xml:space="preserve">Central claim: </w:t>
      </w:r>
      <w:r>
        <w:rPr>
          <w:rFonts w:ascii="Calibri" w:hAnsi="Calibri"/>
          <w:color w:val="17365D"/>
        </w:rPr>
        <w:t>The LLM coordinates the workflow, but validated Python tools retain calculation authority. The experiment measures whether tools improve engineering safety and whether RAG adds traceability without degrading reliability.</w:t>
      </w:r>
    </w:p>
    <w:p>
      <w:pPr>
        <w:pStyle w:val="Heading1"/>
      </w:pPr>
      <w:r>
        <w:t>1. System Architecture</w:t>
      </w:r>
    </w:p>
    <w:p>
      <w:pPr>
        <w:pStyle w:val="EquationBlock"/>
        <w:shd w:fill="F7F9FC"/>
        <w:keepLines/>
        <w:pBdr>
          <w:left w:val="single" w:sz="16" w:space="8" w:color="98A2B3"/>
        </w:pBdr>
      </w:pPr>
      <w:r>
        <w:rPr>
          <w:rFonts w:ascii="Consolas" w:hAnsi="Consolas"/>
          <w:color w:val="1D2939"/>
          <w:sz w:val="18"/>
        </w:rPr>
        <w:t>User question</w:t>
      </w:r>
      <w:r>
        <w:br/>
      </w:r>
      <w:r>
        <w:rPr>
          <w:rFonts w:ascii="Consolas" w:hAnsi="Consolas"/>
          <w:color w:val="1D2939"/>
          <w:sz w:val="18"/>
        </w:rPr>
        <w:t>-&gt; local LLM interprets intent</w:t>
      </w:r>
      <w:r>
        <w:br/>
      </w:r>
      <w:r>
        <w:rPr>
          <w:rFonts w:ascii="Consolas" w:hAnsi="Consolas"/>
          <w:color w:val="1D2939"/>
          <w:sz w:val="18"/>
        </w:rPr>
        <w:t>-&gt; LLM emits a structured tool call</w:t>
      </w:r>
      <w:r>
        <w:br/>
      </w:r>
      <w:r>
        <w:rPr>
          <w:rFonts w:ascii="Consolas" w:hAnsi="Consolas"/>
          <w:color w:val="1D2939"/>
          <w:sz w:val="18"/>
        </w:rPr>
        <w:t>-&gt; LangChain executes the Python function</w:t>
      </w:r>
      <w:r>
        <w:br/>
      </w:r>
      <w:r>
        <w:rPr>
          <w:rFonts w:ascii="Consolas" w:hAnsi="Consolas"/>
          <w:color w:val="1D2939"/>
          <w:sz w:val="18"/>
        </w:rPr>
        <w:t>-&gt; tool result returns to the LLM</w:t>
      </w:r>
      <w:r>
        <w:br/>
      </w:r>
      <w:r>
        <w:rPr>
          <w:rFonts w:ascii="Consolas" w:hAnsi="Consolas"/>
          <w:color w:val="1D2939"/>
          <w:sz w:val="18"/>
        </w:rPr>
        <w:t>-&gt; RAG supplies references when needed</w:t>
      </w:r>
      <w:r>
        <w:br/>
      </w:r>
      <w:r>
        <w:rPr>
          <w:rFonts w:ascii="Consolas" w:hAnsi="Consolas"/>
          <w:color w:val="1D2939"/>
          <w:sz w:val="18"/>
        </w:rPr>
        <w:t>-&gt; LLM explains the result</w:t>
      </w:r>
    </w:p>
    <w:p>
      <w:pPr>
        <w:spacing w:after="60"/>
        <w:ind w:left="259"/>
      </w:pPr>
      <w:r>
        <w:rPr>
          <w:rFonts w:ascii="Calibri" w:hAnsi="Calibri"/>
          <w:b/>
          <w:color w:val="17365D"/>
        </w:rPr>
        <w:t>Local LLM:</w:t>
      </w:r>
      <w:r>
        <w:t xml:space="preserve"> interprets requests, selects tools, extracts stated arguments and explains results.</w:t>
      </w:r>
    </w:p>
    <w:p>
      <w:pPr>
        <w:spacing w:after="60"/>
        <w:ind w:left="259"/>
      </w:pPr>
      <w:r>
        <w:rPr>
          <w:rFonts w:ascii="Calibri" w:hAnsi="Calibri"/>
          <w:b/>
          <w:color w:val="17365D"/>
        </w:rPr>
        <w:t>Deterministic tools:</w:t>
      </w:r>
      <w:r>
        <w:t xml:space="preserve"> perform catalogue lookup, unit conversion, shock calculations and engineering verdicts.</w:t>
      </w:r>
    </w:p>
    <w:p>
      <w:pPr>
        <w:spacing w:after="60"/>
        <w:ind w:left="259"/>
      </w:pPr>
      <w:r>
        <w:rPr>
          <w:rFonts w:ascii="Calibri" w:hAnsi="Calibri"/>
          <w:b/>
          <w:color w:val="17365D"/>
        </w:rPr>
        <w:t>Local RAG:</w:t>
      </w:r>
      <w:r>
        <w:t xml:space="preserve"> retrieves supporting standards, catalogue and workflow passages with stable identifiers.</w:t>
      </w:r>
    </w:p>
    <w:p>
      <w:pPr>
        <w:spacing w:after="60"/>
        <w:ind w:left="259"/>
      </w:pPr>
      <w:r>
        <w:rPr>
          <w:rFonts w:ascii="Calibri" w:hAnsi="Calibri"/>
          <w:b/>
          <w:color w:val="17365D"/>
        </w:rPr>
        <w:t>User interface:</w:t>
      </w:r>
      <w:r>
        <w:t xml:space="preserve"> exposes inputs and intermediate results so users can verify the workflow directly.</w:t>
      </w:r>
    </w:p>
    <w:p>
      <w:pPr>
        <w:pStyle w:val="Heading1"/>
      </w:pPr>
      <w:r>
        <w:t>2. Controlled Research Design</w:t>
      </w:r>
    </w:p>
    <w:p>
      <w:r>
        <w:rPr>
          <w:b/>
        </w:rPr>
        <w:t>System B</w:t>
      </w:r>
      <w:r>
        <w:t xml:space="preserve"> uses the frozen local LLM alone. </w:t>
      </w:r>
      <w:r>
        <w:rPr>
          <w:b/>
        </w:rPr>
        <w:t>System C</w:t>
      </w:r>
      <w:r>
        <w:t xml:space="preserve"> adds deterministic engineering tools. </w:t>
      </w:r>
      <w:r>
        <w:rPr>
          <w:b/>
        </w:rPr>
        <w:t>System D</w:t>
      </w:r>
      <w:r>
        <w:t xml:space="preserve"> adds the frozen local RAG system to the same model and tools.</w:t>
      </w:r>
    </w:p>
    <w:p>
      <w:pPr>
        <w:spacing w:after="60"/>
        <w:ind w:left="259"/>
      </w:pPr>
      <w:r>
        <w:t>170 frozen cases covering selection, verification, units, missing inputs, adversarial prompts, multi-tool workflows and reference questions.</w:t>
      </w:r>
    </w:p>
    <w:p>
      <w:pPr>
        <w:spacing w:after="60"/>
        <w:ind w:left="259"/>
      </w:pPr>
      <w:r>
        <w:rPr>
          <w:rFonts w:ascii="Calibri" w:hAnsi="Calibri"/>
          <w:b/>
          <w:color w:val="17365D"/>
        </w:rPr>
        <w:t>Three repeats per case and system:</w:t>
      </w:r>
      <w:r>
        <w:t xml:space="preserve"> 510 records per system and 1,530 runs in total.</w:t>
      </w:r>
    </w:p>
    <w:p>
      <w:pPr>
        <w:spacing w:after="60"/>
        <w:ind w:left="259"/>
      </w:pPr>
      <w:r>
        <w:t>Gold answers generated by a deterministic Python oracle rather than an LLM judge.</w:t>
      </w:r>
    </w:p>
    <w:p>
      <w:pPr>
        <w:spacing w:after="60"/>
        <w:ind w:left="259"/>
      </w:pPr>
      <w:r>
        <w:t>Case-level analysis with Wilson confidence intervals and exact paired McNemar tests.</w:t>
      </w:r>
    </w:p>
    <w:p>
      <w:pPr>
        <w:spacing w:after="60"/>
        <w:ind w:left="259"/>
      </w:pPr>
      <w:r>
        <w:t>False-safe rate treated as the primary safety metric.</w:t>
      </w:r>
    </w:p>
    <w:p>
      <w:r>
        <w:br w:type="page"/>
      </w:r>
    </w:p>
    <w:p>
      <w:pPr>
        <w:pStyle w:val="Heading1"/>
      </w:pPr>
      <w:r>
        <w:t>3. Current B/C/D Evidence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00"/>
        <w:gridCol w:w="1800"/>
        <w:gridCol w:w="1800"/>
        <w:gridCol w:w="2760"/>
      </w:tblGrid>
      <w:tr>
        <w:trPr>
          <w:tblHeader w:val="true"/>
        </w:trPr>
        <w:tc>
          <w:tcPr>
            <w:tcW w:type="dxa" w:w="3000"/>
            <w:shd w:fill="17365D"/>
            <w:vAlign w:val="center"/>
            <w:tcMar>
              <w:top w:w="100" w:type="dxa"/>
              <w:start w:w="120" w:type="dxa"/>
              <w:bottom w:w="100" w:type="dxa"/>
              <w:end w:w="120" w:type="dxa"/>
            </w:tcMar>
          </w:tcPr>
          <w:p>
            <w:pPr>
              <w:jc w:val="left"/>
            </w:pPr>
            <w:r>
              <w:rPr>
                <w:rFonts w:ascii="Calibri" w:hAnsi="Calibri"/>
                <w:b/>
                <w:color w:val="FFFFFF"/>
                <w:sz w:val="18"/>
              </w:rPr>
              <w:t>Metric</w:t>
            </w:r>
          </w:p>
        </w:tc>
        <w:tc>
          <w:tcPr>
            <w:tcW w:type="dxa" w:w="1800"/>
            <w:shd w:fill="17365D"/>
            <w:vAlign w:val="center"/>
            <w:tcMar>
              <w:top w:w="100" w:type="dxa"/>
              <w:start w:w="120" w:type="dxa"/>
              <w:bottom w:w="100" w:type="dxa"/>
              <w:end w:w="120" w:type="dxa"/>
            </w:tcMar>
          </w:tcPr>
          <w:p>
            <w:pPr>
              <w:jc w:val="center"/>
            </w:pPr>
            <w:r>
              <w:rPr>
                <w:rFonts w:ascii="Calibri" w:hAnsi="Calibri"/>
                <w:b/>
                <w:color w:val="FFFFFF"/>
                <w:sz w:val="18"/>
              </w:rPr>
              <w:t>B: LLM</w:t>
            </w:r>
          </w:p>
        </w:tc>
        <w:tc>
          <w:tcPr>
            <w:tcW w:type="dxa" w:w="1800"/>
            <w:shd w:fill="17365D"/>
            <w:vAlign w:val="center"/>
            <w:tcMar>
              <w:top w:w="100" w:type="dxa"/>
              <w:start w:w="120" w:type="dxa"/>
              <w:bottom w:w="100" w:type="dxa"/>
              <w:end w:w="120" w:type="dxa"/>
            </w:tcMar>
          </w:tcPr>
          <w:p>
            <w:pPr>
              <w:jc w:val="center"/>
            </w:pPr>
            <w:r>
              <w:rPr>
                <w:rFonts w:ascii="Calibri" w:hAnsi="Calibri"/>
                <w:b/>
                <w:color w:val="FFFFFF"/>
                <w:sz w:val="18"/>
              </w:rPr>
              <w:t>C: + Tools</w:t>
            </w:r>
          </w:p>
        </w:tc>
        <w:tc>
          <w:tcPr>
            <w:tcW w:type="dxa" w:w="2760"/>
            <w:shd w:fill="17365D"/>
            <w:vAlign w:val="center"/>
            <w:tcMar>
              <w:top w:w="100" w:type="dxa"/>
              <w:start w:w="120" w:type="dxa"/>
              <w:bottom w:w="100" w:type="dxa"/>
              <w:end w:w="120" w:type="dxa"/>
            </w:tcMar>
          </w:tcPr>
          <w:p>
            <w:pPr>
              <w:jc w:val="center"/>
            </w:pPr>
            <w:r>
              <w:rPr>
                <w:rFonts w:ascii="Calibri" w:hAnsi="Calibri"/>
                <w:b/>
                <w:color w:val="FFFFFF"/>
                <w:sz w:val="18"/>
              </w:rPr>
              <w:t>D: + Tools + RAG</w:t>
            </w:r>
          </w:p>
        </w:tc>
      </w:tr>
      <w:tr>
        <w:tc>
          <w:tcPr>
            <w:tcW w:type="dxa" w:w="3000"/>
            <w:vAlign w:val="center"/>
            <w:tcMar>
              <w:top w:w="100" w:type="dxa"/>
              <w:start w:w="120" w:type="dxa"/>
              <w:bottom w:w="100" w:type="dxa"/>
              <w:end w:w="120" w:type="dxa"/>
            </w:tcMar>
          </w:tcPr>
          <w:p>
            <w:pPr>
              <w:jc w:val="left"/>
            </w:pPr>
            <w:r>
              <w:rPr>
                <w:rFonts w:ascii="Calibri" w:hAnsi="Calibri"/>
                <w:b/>
                <w:color w:val="1D2939"/>
                <w:sz w:val="18"/>
              </w:rPr>
              <w:t>Verdict accuracy</w:t>
            </w:r>
          </w:p>
        </w:tc>
        <w:tc>
          <w:tcPr>
            <w:tcW w:type="dxa" w:w="1800"/>
            <w:vAlign w:val="center"/>
            <w:tcMar>
              <w:top w:w="100" w:type="dxa"/>
              <w:start w:w="120" w:type="dxa"/>
              <w:bottom w:w="100" w:type="dxa"/>
              <w:end w:w="120" w:type="dxa"/>
            </w:tcMar>
          </w:tcPr>
          <w:p>
            <w:pPr>
              <w:jc w:val="center"/>
            </w:pPr>
            <w:r>
              <w:rPr>
                <w:rFonts w:ascii="Calibri" w:hAnsi="Calibri"/>
                <w:b w:val="0"/>
                <w:color w:val="1D2939"/>
                <w:sz w:val="18"/>
              </w:rPr>
              <w:t>38.6%</w:t>
            </w:r>
          </w:p>
        </w:tc>
        <w:tc>
          <w:tcPr>
            <w:tcW w:type="dxa" w:w="1800"/>
            <w:vAlign w:val="center"/>
            <w:tcMar>
              <w:top w:w="100" w:type="dxa"/>
              <w:start w:w="120" w:type="dxa"/>
              <w:bottom w:w="100" w:type="dxa"/>
              <w:end w:w="120" w:type="dxa"/>
            </w:tcMar>
          </w:tcPr>
          <w:p>
            <w:pPr>
              <w:jc w:val="center"/>
            </w:pPr>
            <w:r>
              <w:rPr>
                <w:rFonts w:ascii="Calibri" w:hAnsi="Calibri"/>
                <w:b w:val="0"/>
                <w:color w:val="1D2939"/>
                <w:sz w:val="18"/>
              </w:rPr>
              <w:t>82.1%</w:t>
            </w:r>
          </w:p>
        </w:tc>
        <w:tc>
          <w:tcPr>
            <w:tcW w:type="dxa" w:w="2760"/>
            <w:vAlign w:val="center"/>
            <w:tcMar>
              <w:top w:w="100" w:type="dxa"/>
              <w:start w:w="120" w:type="dxa"/>
              <w:bottom w:w="100" w:type="dxa"/>
              <w:end w:w="120" w:type="dxa"/>
            </w:tcMar>
          </w:tcPr>
          <w:p>
            <w:pPr>
              <w:jc w:val="center"/>
            </w:pPr>
            <w:r>
              <w:rPr>
                <w:rFonts w:ascii="Calibri" w:hAnsi="Calibri"/>
                <w:b w:val="0"/>
                <w:color w:val="1D2939"/>
                <w:sz w:val="18"/>
              </w:rPr>
              <w:t>84.3%</w:t>
            </w:r>
          </w:p>
        </w:tc>
      </w:tr>
      <w:tr>
        <w:tc>
          <w:tcPr>
            <w:tcW w:type="dxa" w:w="3000"/>
            <w:vAlign w:val="center"/>
            <w:shd w:fill="F2F4F7"/>
            <w:tcMar>
              <w:top w:w="100" w:type="dxa"/>
              <w:start w:w="120" w:type="dxa"/>
              <w:bottom w:w="100" w:type="dxa"/>
              <w:end w:w="120" w:type="dxa"/>
            </w:tcMar>
          </w:tcPr>
          <w:p>
            <w:pPr>
              <w:jc w:val="left"/>
            </w:pPr>
            <w:r>
              <w:rPr>
                <w:rFonts w:ascii="Calibri" w:hAnsi="Calibri"/>
                <w:b/>
                <w:color w:val="1D2939"/>
                <w:sz w:val="18"/>
              </w:rPr>
              <w:t>False-safe rate</w:t>
            </w:r>
          </w:p>
        </w:tc>
        <w:tc>
          <w:tcPr>
            <w:tcW w:type="dxa" w:w="1800"/>
            <w:vAlign w:val="center"/>
            <w:shd w:fill="F2F4F7"/>
            <w:tcMar>
              <w:top w:w="100" w:type="dxa"/>
              <w:start w:w="120" w:type="dxa"/>
              <w:bottom w:w="100" w:type="dxa"/>
              <w:end w:w="120" w:type="dxa"/>
            </w:tcMar>
          </w:tcPr>
          <w:p>
            <w:pPr>
              <w:jc w:val="center"/>
            </w:pPr>
            <w:r>
              <w:rPr>
                <w:rFonts w:ascii="Calibri" w:hAnsi="Calibri"/>
                <w:b w:val="0"/>
                <w:color w:val="1D2939"/>
                <w:sz w:val="18"/>
              </w:rPr>
              <w:t>13.8%</w:t>
            </w:r>
          </w:p>
        </w:tc>
        <w:tc>
          <w:tcPr>
            <w:tcW w:type="dxa" w:w="1800"/>
            <w:vAlign w:val="center"/>
            <w:shd w:fill="F2F4F7"/>
            <w:tcMar>
              <w:top w:w="100" w:type="dxa"/>
              <w:start w:w="120" w:type="dxa"/>
              <w:bottom w:w="100" w:type="dxa"/>
              <w:end w:w="120" w:type="dxa"/>
            </w:tcMar>
          </w:tcPr>
          <w:p>
            <w:pPr>
              <w:jc w:val="center"/>
            </w:pPr>
            <w:r>
              <w:rPr>
                <w:rFonts w:ascii="Calibri" w:hAnsi="Calibri"/>
                <w:b w:val="0"/>
                <w:color w:val="1D2939"/>
                <w:sz w:val="18"/>
              </w:rPr>
              <w:t>13.8%</w:t>
            </w:r>
          </w:p>
        </w:tc>
        <w:tc>
          <w:tcPr>
            <w:tcW w:type="dxa" w:w="2760"/>
            <w:vAlign w:val="center"/>
            <w:shd w:fill="F2F4F7"/>
            <w:tcMar>
              <w:top w:w="100" w:type="dxa"/>
              <w:start w:w="120" w:type="dxa"/>
              <w:bottom w:w="100" w:type="dxa"/>
              <w:end w:w="120" w:type="dxa"/>
            </w:tcMar>
          </w:tcPr>
          <w:p>
            <w:pPr>
              <w:jc w:val="center"/>
            </w:pPr>
            <w:r>
              <w:rPr>
                <w:rFonts w:ascii="Calibri" w:hAnsi="Calibri"/>
                <w:b w:val="0"/>
                <w:color w:val="1D2939"/>
                <w:sz w:val="18"/>
              </w:rPr>
              <w:t>3.4%</w:t>
            </w:r>
          </w:p>
        </w:tc>
      </w:tr>
      <w:tr>
        <w:tc>
          <w:tcPr>
            <w:tcW w:type="dxa" w:w="3000"/>
            <w:vAlign w:val="center"/>
            <w:tcMar>
              <w:top w:w="100" w:type="dxa"/>
              <w:start w:w="120" w:type="dxa"/>
              <w:bottom w:w="100" w:type="dxa"/>
              <w:end w:w="120" w:type="dxa"/>
            </w:tcMar>
          </w:tcPr>
          <w:p>
            <w:pPr>
              <w:jc w:val="left"/>
            </w:pPr>
            <w:r>
              <w:rPr>
                <w:rFonts w:ascii="Calibri" w:hAnsi="Calibri"/>
                <w:b/>
                <w:color w:val="1D2939"/>
                <w:sz w:val="18"/>
              </w:rPr>
              <w:t>Valid three-repeat consistency</w:t>
            </w:r>
          </w:p>
        </w:tc>
        <w:tc>
          <w:tcPr>
            <w:tcW w:type="dxa" w:w="1800"/>
            <w:vAlign w:val="center"/>
            <w:tcMar>
              <w:top w:w="100" w:type="dxa"/>
              <w:start w:w="120" w:type="dxa"/>
              <w:bottom w:w="100" w:type="dxa"/>
              <w:end w:w="120" w:type="dxa"/>
            </w:tcMar>
          </w:tcPr>
          <w:p>
            <w:pPr>
              <w:jc w:val="center"/>
            </w:pPr>
            <w:r>
              <w:rPr>
                <w:rFonts w:ascii="Calibri" w:hAnsi="Calibri"/>
                <w:b w:val="0"/>
                <w:color w:val="1D2939"/>
                <w:sz w:val="18"/>
              </w:rPr>
              <w:t>92.1%</w:t>
            </w:r>
          </w:p>
        </w:tc>
        <w:tc>
          <w:tcPr>
            <w:tcW w:type="dxa" w:w="1800"/>
            <w:vAlign w:val="center"/>
            <w:tcMar>
              <w:top w:w="100" w:type="dxa"/>
              <w:start w:w="120" w:type="dxa"/>
              <w:bottom w:w="100" w:type="dxa"/>
              <w:end w:w="120" w:type="dxa"/>
            </w:tcMar>
          </w:tcPr>
          <w:p>
            <w:pPr>
              <w:jc w:val="center"/>
            </w:pPr>
            <w:r>
              <w:rPr>
                <w:rFonts w:ascii="Calibri" w:hAnsi="Calibri"/>
                <w:b w:val="0"/>
                <w:color w:val="1D2939"/>
                <w:sz w:val="18"/>
              </w:rPr>
              <w:t>90.0%</w:t>
            </w:r>
          </w:p>
        </w:tc>
        <w:tc>
          <w:tcPr>
            <w:tcW w:type="dxa" w:w="2760"/>
            <w:vAlign w:val="center"/>
            <w:tcMar>
              <w:top w:w="100" w:type="dxa"/>
              <w:start w:w="120" w:type="dxa"/>
              <w:bottom w:w="100" w:type="dxa"/>
              <w:end w:w="120" w:type="dxa"/>
            </w:tcMar>
          </w:tcPr>
          <w:p>
            <w:pPr>
              <w:jc w:val="center"/>
            </w:pPr>
            <w:r>
              <w:rPr>
                <w:rFonts w:ascii="Calibri" w:hAnsi="Calibri"/>
                <w:b w:val="0"/>
                <w:color w:val="1D2939"/>
                <w:sz w:val="18"/>
              </w:rPr>
              <w:t>92.1%</w:t>
            </w:r>
          </w:p>
        </w:tc>
      </w:tr>
      <w:tr>
        <w:tc>
          <w:tcPr>
            <w:tcW w:type="dxa" w:w="3000"/>
            <w:vAlign w:val="center"/>
            <w:shd w:fill="F2F4F7"/>
            <w:tcMar>
              <w:top w:w="100" w:type="dxa"/>
              <w:start w:w="120" w:type="dxa"/>
              <w:bottom w:w="100" w:type="dxa"/>
              <w:end w:w="120" w:type="dxa"/>
            </w:tcMar>
          </w:tcPr>
          <w:p>
            <w:pPr>
              <w:jc w:val="left"/>
            </w:pPr>
            <w:r>
              <w:rPr>
                <w:rFonts w:ascii="Calibri" w:hAnsi="Calibri"/>
                <w:b/>
                <w:color w:val="1D2939"/>
                <w:sz w:val="18"/>
              </w:rPr>
              <w:t>Median latency</w:t>
            </w:r>
          </w:p>
        </w:tc>
        <w:tc>
          <w:tcPr>
            <w:tcW w:type="dxa" w:w="1800"/>
            <w:vAlign w:val="center"/>
            <w:shd w:fill="F2F4F7"/>
            <w:tcMar>
              <w:top w:w="100" w:type="dxa"/>
              <w:start w:w="120" w:type="dxa"/>
              <w:bottom w:w="100" w:type="dxa"/>
              <w:end w:w="120" w:type="dxa"/>
            </w:tcMar>
          </w:tcPr>
          <w:p>
            <w:pPr>
              <w:jc w:val="center"/>
            </w:pPr>
            <w:r>
              <w:rPr>
                <w:rFonts w:ascii="Calibri" w:hAnsi="Calibri"/>
                <w:b w:val="0"/>
                <w:color w:val="1D2939"/>
                <w:sz w:val="18"/>
              </w:rPr>
              <w:t>14.1 s</w:t>
            </w:r>
          </w:p>
        </w:tc>
        <w:tc>
          <w:tcPr>
            <w:tcW w:type="dxa" w:w="1800"/>
            <w:vAlign w:val="center"/>
            <w:shd w:fill="F2F4F7"/>
            <w:tcMar>
              <w:top w:w="100" w:type="dxa"/>
              <w:start w:w="120" w:type="dxa"/>
              <w:bottom w:w="100" w:type="dxa"/>
              <w:end w:w="120" w:type="dxa"/>
            </w:tcMar>
          </w:tcPr>
          <w:p>
            <w:pPr>
              <w:jc w:val="center"/>
            </w:pPr>
            <w:r>
              <w:rPr>
                <w:rFonts w:ascii="Calibri" w:hAnsi="Calibri"/>
                <w:b w:val="0"/>
                <w:color w:val="1D2939"/>
                <w:sz w:val="18"/>
              </w:rPr>
              <w:t>27.3 s</w:t>
            </w:r>
          </w:p>
        </w:tc>
        <w:tc>
          <w:tcPr>
            <w:tcW w:type="dxa" w:w="2760"/>
            <w:vAlign w:val="center"/>
            <w:shd w:fill="F2F4F7"/>
            <w:tcMar>
              <w:top w:w="100" w:type="dxa"/>
              <w:start w:w="120" w:type="dxa"/>
              <w:bottom w:w="100" w:type="dxa"/>
              <w:end w:w="120" w:type="dxa"/>
            </w:tcMar>
          </w:tcPr>
          <w:p>
            <w:pPr>
              <w:jc w:val="center"/>
            </w:pPr>
            <w:r>
              <w:rPr>
                <w:rFonts w:ascii="Calibri" w:hAnsi="Calibri"/>
                <w:b w:val="0"/>
                <w:color w:val="1D2939"/>
                <w:sz w:val="18"/>
              </w:rPr>
              <w:t>26.0 s</w:t>
            </w:r>
          </w:p>
        </w:tc>
      </w:tr>
    </w:tbl>
    <w:p>
      <w:pPr>
        <w:spacing w:before="120"/>
      </w:pPr>
      <w:r>
        <w:rPr>
          <w:b/>
        </w:rPr>
        <w:t xml:space="preserve">Paired comparison: </w:t>
      </w:r>
      <w:r>
        <w:t xml:space="preserve">B to C improved accuracy by 43.6 percentage points (exact McNemar p &lt; 0.0001). </w:t>
      </w:r>
      <w:r>
        <w:t>C to D improved accuracy by 2.1 points (p = 0.6291), so the overall RAG accuracy gain was not statistically significant.</w:t>
      </w:r>
    </w:p>
    <w:p>
      <w:pPr>
        <w:pStyle w:val="TechnicalNote"/>
        <w:shd w:fill="EEF7F0"/>
        <w:pBdr>
          <w:left w:val="single" w:sz="16" w:space="8" w:color="2E74B5"/>
        </w:pBdr>
      </w:pPr>
      <w:r>
        <w:rPr>
          <w:rFonts w:ascii="Calibri" w:hAnsi="Calibri"/>
          <w:b/>
          <w:color w:val="17365D"/>
        </w:rPr>
        <w:t xml:space="preserve">Interpretation: </w:t>
      </w:r>
      <w:r>
        <w:rPr>
          <w:rFonts w:ascii="Calibri" w:hAnsi="Calibri"/>
          <w:color w:val="17365D"/>
        </w:rPr>
        <w:t>Tools produced the main engineering-accuracy improvement. RAG showed a meaningful reduction in observed false-safe outcomes and improved traceability, but also introduced retrieval, citation and latency costs. This is a component-level finding, not simply 'D is better.'</w:t>
      </w:r>
    </w:p>
    <w:p>
      <w:r>
        <w:rPr>
          <w:b/>
        </w:rPr>
        <w:t xml:space="preserve">System D retrieval evidence: </w:t>
      </w:r>
      <w:r>
        <w:t>Hit@3 = 86.7%, citation recall = 86.7%, citation precision = 42.2%. Six hard failures occurred across two cases and require separate investigation.</w:t>
      </w:r>
    </w:p>
    <w:p>
      <w:pPr>
        <w:pStyle w:val="Heading1"/>
      </w:pPr>
      <w:r>
        <w:t>4. Worked VRAM Calculation</w:t>
      </w:r>
    </w:p>
    <w:p>
      <w:r>
        <w:t>Local-model selection begins with a hardware feasibility calculation. Required memory is divided into model weights, the KV cache and runtime overhead.</w:t>
      </w:r>
    </w:p>
    <w:p>
      <w:pPr>
        <w:pStyle w:val="EquationBlock"/>
        <w:shd w:fill="F7F9FC"/>
        <w:keepLines/>
        <w:pBdr>
          <w:left w:val="single" w:sz="16" w:space="8" w:color="98A2B3"/>
        </w:pBdr>
      </w:pPr>
      <w:r>
        <w:rPr>
          <w:rFonts w:ascii="Consolas" w:hAnsi="Consolas"/>
          <w:color w:val="1D2939"/>
          <w:sz w:val="18"/>
        </w:rPr>
        <w:t>Required GPU memory = model weights + KV cache + runtime overhead</w:t>
      </w:r>
    </w:p>
    <w:p>
      <w:pPr>
        <w:pStyle w:val="Heading2"/>
      </w:pPr>
      <w:r>
        <w:t>4.1 Quantised weight estimate</w:t>
      </w:r>
    </w:p>
    <w:p>
      <w:pPr>
        <w:pStyle w:val="EquationBlock"/>
        <w:shd w:fill="F7F9FC"/>
        <w:keepLines/>
        <w:pBdr>
          <w:left w:val="single" w:sz="16" w:space="8" w:color="98A2B3"/>
        </w:pBdr>
      </w:pPr>
      <w:r>
        <w:rPr>
          <w:rFonts w:ascii="Consolas" w:hAnsi="Consolas"/>
          <w:color w:val="1D2939"/>
          <w:sz w:val="18"/>
        </w:rPr>
        <w:t>Weight bytes = parameters x bits per parameter / 8</w:t>
      </w:r>
      <w:r>
        <w:br/>
      </w:r>
      <w:r>
        <w:rPr>
          <w:rFonts w:ascii="Consolas" w:hAnsi="Consolas"/>
          <w:color w:val="1D2939"/>
          <w:sz w:val="18"/>
        </w:rPr>
      </w:r>
      <w:r>
        <w:br/>
      </w:r>
      <w:r>
        <w:rPr>
          <w:rFonts w:ascii="Consolas" w:hAnsi="Consolas"/>
          <w:color w:val="1D2939"/>
          <w:sz w:val="18"/>
        </w:rPr>
        <w:t>Example: 9 billion parameters at approximately 4.5 bits</w:t>
      </w:r>
      <w:r>
        <w:br/>
      </w:r>
      <w:r>
        <w:rPr>
          <w:rFonts w:ascii="Consolas" w:hAnsi="Consolas"/>
          <w:color w:val="1D2939"/>
          <w:sz w:val="18"/>
        </w:rPr>
        <w:t>= 9,000,000,000 x 4.5 / 8</w:t>
      </w:r>
      <w:r>
        <w:br/>
      </w:r>
      <w:r>
        <w:rPr>
          <w:rFonts w:ascii="Consolas" w:hAnsi="Consolas"/>
          <w:color w:val="1D2939"/>
          <w:sz w:val="18"/>
        </w:rPr>
        <w:t>= 5,062,500,000 bytes</w:t>
      </w:r>
      <w:r>
        <w:br/>
      </w:r>
      <w:r>
        <w:rPr>
          <w:rFonts w:ascii="Consolas" w:hAnsi="Consolas"/>
          <w:color w:val="1D2939"/>
          <w:sz w:val="18"/>
        </w:rPr>
        <w:t>= approximately 5.06 GB or 4.71 GiB</w:t>
      </w:r>
    </w:p>
    <w:p>
      <w:r>
        <w:t>This is a planning estimate. The measured model can be larger because some tensors remain at higher precision and quantisation requires block scales and metadata. The final report should show both the theoretical estimate and measured values from Ollama or nvidia-smi.</w:t>
      </w:r>
    </w:p>
    <w:p>
      <w:pPr>
        <w:pStyle w:val="Heading2"/>
      </w:pPr>
      <w:r>
        <w:t>4.2 KV-cache estimate</w:t>
      </w:r>
    </w:p>
    <w:p>
      <w:pPr>
        <w:pStyle w:val="EquationBlock"/>
        <w:shd w:fill="F7F9FC"/>
        <w:keepLines/>
        <w:pBdr>
          <w:left w:val="single" w:sz="16" w:space="8" w:color="98A2B3"/>
        </w:pBdr>
      </w:pPr>
      <w:r>
        <w:rPr>
          <w:rFonts w:ascii="Consolas" w:hAnsi="Consolas"/>
          <w:color w:val="1D2939"/>
          <w:sz w:val="18"/>
        </w:rPr>
        <w:t>KV bytes = 2 x layers x KV heads x head dimension</w:t>
      </w:r>
      <w:r>
        <w:br/>
      </w:r>
      <w:r>
        <w:rPr>
          <w:rFonts w:ascii="Consolas" w:hAnsi="Consolas"/>
          <w:color w:val="1D2939"/>
          <w:sz w:val="18"/>
        </w:rPr>
        <w:t xml:space="preserve">           x context tokens x bytes per value</w:t>
      </w:r>
      <w:r>
        <w:br/>
      </w:r>
      <w:r>
        <w:rPr>
          <w:rFonts w:ascii="Consolas" w:hAnsi="Consolas"/>
          <w:color w:val="1D2939"/>
          <w:sz w:val="18"/>
        </w:rPr>
      </w:r>
      <w:r>
        <w:br/>
      </w:r>
      <w:r>
        <w:rPr>
          <w:rFonts w:ascii="Consolas" w:hAnsi="Consolas"/>
          <w:color w:val="1D2939"/>
          <w:sz w:val="18"/>
        </w:rPr>
        <w:t>Illustrative assumptions:</w:t>
      </w:r>
      <w:r>
        <w:br/>
      </w:r>
      <w:r>
        <w:rPr>
          <w:rFonts w:ascii="Consolas" w:hAnsi="Consolas"/>
          <w:color w:val="1D2939"/>
          <w:sz w:val="18"/>
        </w:rPr>
        <w:t>layers = 40, KV heads = 8, head dimension = 128</w:t>
      </w:r>
      <w:r>
        <w:br/>
      </w:r>
      <w:r>
        <w:rPr>
          <w:rFonts w:ascii="Consolas" w:hAnsi="Consolas"/>
          <w:color w:val="1D2939"/>
          <w:sz w:val="18"/>
        </w:rPr>
        <w:t>context = 4,096 tokens, cache precision = 2 bytes</w:t>
      </w:r>
      <w:r>
        <w:br/>
      </w:r>
      <w:r>
        <w:rPr>
          <w:rFonts w:ascii="Consolas" w:hAnsi="Consolas"/>
          <w:color w:val="1D2939"/>
          <w:sz w:val="18"/>
        </w:rPr>
      </w:r>
      <w:r>
        <w:br/>
      </w:r>
      <w:r>
        <w:rPr>
          <w:rFonts w:ascii="Consolas" w:hAnsi="Consolas"/>
          <w:color w:val="1D2939"/>
          <w:sz w:val="18"/>
        </w:rPr>
        <w:t>KV bytes = 2 x 40 x 8 x 128 x 4,096 x 2</w:t>
      </w:r>
      <w:r>
        <w:br/>
      </w:r>
      <w:r>
        <w:rPr>
          <w:rFonts w:ascii="Consolas" w:hAnsi="Consolas"/>
          <w:color w:val="1D2939"/>
          <w:sz w:val="18"/>
        </w:rPr>
        <w:t xml:space="preserve">         = 671,088,640 bytes</w:t>
      </w:r>
      <w:r>
        <w:br/>
      </w:r>
      <w:r>
        <w:rPr>
          <w:rFonts w:ascii="Consolas" w:hAnsi="Consolas"/>
          <w:color w:val="1D2939"/>
          <w:sz w:val="18"/>
        </w:rPr>
        <w:t xml:space="preserve">         = approximately 0.625 GiB</w:t>
      </w:r>
    </w:p>
    <w:p>
      <w:r>
        <w:t>Doubling the configured context from 4,096 to 8,192 tokens approximately doubles this KV-cache requirement to 1.25 GiB. The model's maximum supported context is therefore not the context that must be allocated in deployment.</w:t>
      </w:r>
    </w:p>
    <w:p>
      <w:pPr>
        <w:pStyle w:val="Heading2"/>
      </w:pPr>
      <w:r>
        <w:t>4.3 Overall planning estimate</w:t>
      </w:r>
    </w:p>
    <w:p>
      <w:pPr>
        <w:pStyle w:val="EquationBlock"/>
        <w:shd w:fill="F7F9FC"/>
        <w:keepLines/>
        <w:pBdr>
          <w:left w:val="single" w:sz="16" w:space="8" w:color="98A2B3"/>
        </w:pBdr>
      </w:pPr>
      <w:r>
        <w:rPr>
          <w:rFonts w:ascii="Consolas" w:hAnsi="Consolas"/>
          <w:color w:val="1D2939"/>
          <w:sz w:val="18"/>
        </w:rPr>
        <w:t>Quantised weights       approximately 4.71 GiB</w:t>
      </w:r>
      <w:r>
        <w:br/>
      </w:r>
      <w:r>
        <w:rPr>
          <w:rFonts w:ascii="Consolas" w:hAnsi="Consolas"/>
          <w:color w:val="1D2939"/>
          <w:sz w:val="18"/>
        </w:rPr>
        <w:t>4,096-token KV cache    approximately 0.63 GiB</w:t>
      </w:r>
      <w:r>
        <w:br/>
      </w:r>
      <w:r>
        <w:rPr>
          <w:rFonts w:ascii="Consolas" w:hAnsi="Consolas"/>
          <w:color w:val="1D2939"/>
          <w:sz w:val="18"/>
        </w:rPr>
        <w:t>Runtime overhead        approximately 1.00-1.50 GiB</w:t>
      </w:r>
      <w:r>
        <w:br/>
      </w:r>
      <w:r>
        <w:rPr>
          <w:rFonts w:ascii="Consolas" w:hAnsi="Consolas"/>
          <w:color w:val="1D2939"/>
          <w:sz w:val="18"/>
        </w:rPr>
        <w:t>--------------------------------------------------</w:t>
      </w:r>
      <w:r>
        <w:br/>
      </w:r>
      <w:r>
        <w:rPr>
          <w:rFonts w:ascii="Consolas" w:hAnsi="Consolas"/>
          <w:color w:val="1D2939"/>
          <w:sz w:val="18"/>
        </w:rPr>
        <w:t>Estimated requirement   approximately 6.34-6.84 GiB</w:t>
      </w:r>
    </w:p>
    <w:p>
      <w:pPr>
        <w:pStyle w:val="TechnicalNote"/>
        <w:shd w:fill="FFF7E6"/>
        <w:pBdr>
          <w:left w:val="single" w:sz="16" w:space="8" w:color="2E74B5"/>
        </w:pBdr>
      </w:pPr>
      <w:r>
        <w:rPr>
          <w:rFonts w:ascii="Calibri" w:hAnsi="Calibri"/>
          <w:b/>
          <w:color w:val="17365D"/>
        </w:rPr>
        <w:t xml:space="preserve">Presentation caution: </w:t>
      </w:r>
      <w:r>
        <w:rPr>
          <w:rFonts w:ascii="Calibri" w:hAnsi="Calibri"/>
          <w:color w:val="17365D"/>
        </w:rPr>
        <w:t>Label these layer and KV-head values as an illustrative calculation unless they are replaced with verified architecture values from the selected model's official model card.</w:t>
      </w:r>
    </w:p>
    <w:p>
      <w:pPr>
        <w:pStyle w:val="Heading1"/>
      </w:pPr>
      <w:r>
        <w:t>5. Embeddings and Cosine Similarity</w:t>
      </w:r>
    </w:p>
    <w:p>
      <w:pPr>
        <w:pStyle w:val="EquationBlock"/>
        <w:shd w:fill="F7F9FC"/>
        <w:keepLines/>
        <w:pBdr>
          <w:left w:val="single" w:sz="16" w:space="8" w:color="98A2B3"/>
        </w:pBdr>
      </w:pPr>
      <w:r>
        <w:rPr>
          <w:rFonts w:ascii="Consolas" w:hAnsi="Consolas"/>
          <w:color w:val="1D2939"/>
          <w:sz w:val="18"/>
        </w:rPr>
        <w:t>Knowledge passage -&gt; embedding model -&gt; document vector -&gt; local store</w:t>
      </w:r>
      <w:r>
        <w:br/>
      </w:r>
      <w:r>
        <w:rPr>
          <w:rFonts w:ascii="Consolas" w:hAnsi="Consolas"/>
          <w:color w:val="1D2939"/>
          <w:sz w:val="18"/>
        </w:rPr>
        <w:t>User question     -&gt; embedding model -&gt; query vector</w:t>
      </w:r>
      <w:r>
        <w:br/>
      </w:r>
      <w:r>
        <w:rPr>
          <w:rFonts w:ascii="Consolas" w:hAnsi="Consolas"/>
          <w:color w:val="1D2939"/>
          <w:sz w:val="18"/>
        </w:rPr>
        <w:t>Query vector      -&gt; cosine comparison -&gt; top-ranked passages</w:t>
      </w:r>
    </w:p>
    <w:p>
      <w:r>
        <w:t>Cosine similarity compares the direction of two vectors. A score closer to 1 indicates stronger directional similarity.</w:t>
      </w:r>
    </w:p>
    <w:p>
      <w:pPr>
        <w:pStyle w:val="EquationBlock"/>
        <w:shd w:fill="F7F9FC"/>
        <w:keepLines/>
        <w:pBdr>
          <w:left w:val="single" w:sz="16" w:space="8" w:color="98A2B3"/>
        </w:pBdr>
      </w:pPr>
      <w:r>
        <w:rPr>
          <w:rFonts w:ascii="Consolas" w:hAnsi="Consolas"/>
          <w:color w:val="1D2939"/>
          <w:sz w:val="18"/>
        </w:rPr>
        <w:t>cos(A,B) = (A dot B) / (magnitude(A) x magnitude(B))</w:t>
      </w:r>
    </w:p>
    <w:p>
      <w:pPr>
        <w:pStyle w:val="Heading2"/>
      </w:pPr>
      <w:r>
        <w:t>5.1 Manual three-dimensional example</w:t>
      </w:r>
    </w:p>
    <w:p>
      <w:pPr>
        <w:pStyle w:val="EquationBlock"/>
        <w:shd w:fill="F7F9FC"/>
        <w:keepLines/>
        <w:pBdr>
          <w:left w:val="single" w:sz="16" w:space="8" w:color="98A2B3"/>
        </w:pBdr>
      </w:pPr>
      <w:r>
        <w:rPr>
          <w:rFonts w:ascii="Consolas" w:hAnsi="Consolas"/>
          <w:color w:val="1D2939"/>
          <w:sz w:val="18"/>
        </w:rPr>
        <w:t>Query Q = [1, 2, 2]</w:t>
      </w:r>
      <w:r>
        <w:br/>
      </w:r>
      <w:r>
        <w:rPr>
          <w:rFonts w:ascii="Consolas" w:hAnsi="Consolas"/>
          <w:color w:val="1D2939"/>
          <w:sz w:val="18"/>
        </w:rPr>
        <w:t>Document D1 = [2, 1, 2]</w:t>
      </w:r>
      <w:r>
        <w:br/>
      </w:r>
      <w:r>
        <w:rPr>
          <w:rFonts w:ascii="Consolas" w:hAnsi="Consolas"/>
          <w:color w:val="1D2939"/>
          <w:sz w:val="18"/>
        </w:rPr>
      </w:r>
      <w:r>
        <w:br/>
      </w:r>
      <w:r>
        <w:rPr>
          <w:rFonts w:ascii="Consolas" w:hAnsi="Consolas"/>
          <w:color w:val="1D2939"/>
          <w:sz w:val="18"/>
        </w:rPr>
        <w:t>Dot product = (1x2) + (2x1) + (2x2) = 8</w:t>
      </w:r>
      <w:r>
        <w:br/>
      </w:r>
      <w:r>
        <w:rPr>
          <w:rFonts w:ascii="Consolas" w:hAnsi="Consolas"/>
          <w:color w:val="1D2939"/>
          <w:sz w:val="18"/>
        </w:rPr>
        <w:t>magnitude(Q)  = sqrt(1^2 + 2^2 + 2^2) = 3</w:t>
      </w:r>
      <w:r>
        <w:br/>
      </w:r>
      <w:r>
        <w:rPr>
          <w:rFonts w:ascii="Consolas" w:hAnsi="Consolas"/>
          <w:color w:val="1D2939"/>
          <w:sz w:val="18"/>
        </w:rPr>
        <w:t>magnitude(D1) = sqrt(2^2 + 1^2 + 2^2) = 3</w:t>
      </w:r>
      <w:r>
        <w:br/>
      </w:r>
      <w:r>
        <w:rPr>
          <w:rFonts w:ascii="Consolas" w:hAnsi="Consolas"/>
          <w:color w:val="1D2939"/>
          <w:sz w:val="18"/>
        </w:rPr>
      </w:r>
      <w:r>
        <w:br/>
      </w:r>
      <w:r>
        <w:rPr>
          <w:rFonts w:ascii="Consolas" w:hAnsi="Consolas"/>
          <w:color w:val="1D2939"/>
          <w:sz w:val="18"/>
        </w:rPr>
        <w:t>cos(Q,D1) = 8 / (3x3) = 0.889</w:t>
      </w:r>
    </w:p>
    <w:p>
      <w:pPr>
        <w:pStyle w:val="EquationBlock"/>
        <w:shd w:fill="F7F9FC"/>
        <w:keepLines/>
        <w:pBdr>
          <w:left w:val="single" w:sz="16" w:space="8" w:color="98A2B3"/>
        </w:pBdr>
      </w:pPr>
      <w:r>
        <w:rPr>
          <w:rFonts w:ascii="Consolas" w:hAnsi="Consolas"/>
          <w:color w:val="1D2939"/>
          <w:sz w:val="18"/>
        </w:rPr>
        <w:t>Less relevant document D2 = [-1, 0, 1]</w:t>
      </w:r>
      <w:r>
        <w:br/>
      </w:r>
      <w:r>
        <w:rPr>
          <w:rFonts w:ascii="Consolas" w:hAnsi="Consolas"/>
          <w:color w:val="1D2939"/>
          <w:sz w:val="18"/>
        </w:rPr>
        <w:t>Q dot D2 = (1x-1) + (2x0) + (2x1) = 1</w:t>
      </w:r>
      <w:r>
        <w:br/>
      </w:r>
      <w:r>
        <w:rPr>
          <w:rFonts w:ascii="Consolas" w:hAnsi="Consolas"/>
          <w:color w:val="1D2939"/>
          <w:sz w:val="18"/>
        </w:rPr>
        <w:t>magnitude(D2) = sqrt(2)</w:t>
      </w:r>
      <w:r>
        <w:br/>
      </w:r>
      <w:r>
        <w:rPr>
          <w:rFonts w:ascii="Consolas" w:hAnsi="Consolas"/>
          <w:color w:val="1D2939"/>
          <w:sz w:val="18"/>
        </w:rPr>
        <w:t>cos(Q,D2) = 1 / (3xsqrt(2)) = 0.236</w:t>
      </w:r>
    </w:p>
    <w:p>
      <w:pPr>
        <w:pStyle w:val="TechnicalNote"/>
        <w:shd w:fill="EAF2F8"/>
        <w:pBdr>
          <w:left w:val="single" w:sz="16" w:space="8" w:color="2E74B5"/>
        </w:pBdr>
      </w:pPr>
      <w:r>
        <w:rPr>
          <w:rFonts w:ascii="Calibri" w:hAnsi="Calibri"/>
          <w:b/>
          <w:color w:val="17365D"/>
        </w:rPr>
        <w:t xml:space="preserve">Result: </w:t>
      </w:r>
      <w:r>
        <w:rPr>
          <w:rFonts w:ascii="Calibri" w:hAnsi="Calibri"/>
          <w:color w:val="17365D"/>
        </w:rPr>
        <w:t>D1 ranks above D2 because 0.889 is greater than 0.236. Real embedding vectors have hundreds or thousands of dimensions, but the calculation is identical.</w:t>
      </w:r>
    </w:p>
    <w:p>
      <w:pPr>
        <w:pStyle w:val="Heading1"/>
      </w:pPr>
      <w:r>
        <w:t>6. How the LLM Selects a Tool</w:t>
      </w:r>
    </w:p>
    <w:p>
      <w:pPr>
        <w:pStyle w:val="TechnicalNote"/>
        <w:shd w:fill="FFF7E6"/>
        <w:pBdr>
          <w:left w:val="single" w:sz="16" w:space="8" w:color="2E74B5"/>
        </w:pBdr>
      </w:pPr>
      <w:r>
        <w:rPr>
          <w:rFonts w:ascii="Calibri" w:hAnsi="Calibri"/>
          <w:b/>
          <w:color w:val="17365D"/>
        </w:rPr>
        <w:t xml:space="preserve">Important correction: </w:t>
      </w:r>
      <w:r>
        <w:rPr>
          <w:rFonts w:ascii="Calibri" w:hAnsi="Calibri"/>
          <w:color w:val="17365D"/>
        </w:rPr>
        <w:t>Tool selection is not normally performed by embedding every tool description and choosing top-k. Tool names, descriptions and JSON argument schemas are supplied in the LLM context, and the LLM generates a structured tool-call request.</w:t>
      </w:r>
    </w:p>
    <w:p>
      <w:pPr>
        <w:spacing w:after="60" w:line="264" w:lineRule="auto"/>
        <w:ind w:left="259"/>
      </w:pPr>
      <w:r>
        <w:rPr>
          <w:rFonts w:ascii="Calibri" w:hAnsi="Calibri"/>
          <w:b/>
          <w:color w:val="17365D"/>
        </w:rPr>
        <w:t xml:space="preserve">Step 1: </w:t>
      </w:r>
      <w:r>
        <w:t>LangChain binds each Python tool's name, description and argument schema to the chat model.</w:t>
      </w:r>
    </w:p>
    <w:p>
      <w:pPr>
        <w:spacing w:after="60" w:line="264" w:lineRule="auto"/>
        <w:ind w:left="259"/>
      </w:pPr>
      <w:r>
        <w:rPr>
          <w:rFonts w:ascii="Calibri" w:hAnsi="Calibri"/>
          <w:b/>
          <w:color w:val="17365D"/>
        </w:rPr>
        <w:t xml:space="preserve">Step 2: </w:t>
      </w:r>
      <w:r>
        <w:t>The Transformer processes the user question, system instruction and available tool schemas.</w:t>
      </w:r>
    </w:p>
    <w:p>
      <w:pPr>
        <w:spacing w:after="60" w:line="264" w:lineRule="auto"/>
        <w:ind w:left="259"/>
      </w:pPr>
      <w:r>
        <w:rPr>
          <w:rFonts w:ascii="Calibri" w:hAnsi="Calibri"/>
          <w:b/>
          <w:color w:val="17365D"/>
        </w:rPr>
        <w:t xml:space="preserve">Step 3: </w:t>
      </w:r>
      <w:r>
        <w:t>The model generates either normal text or structured output containing a tool name and arguments.</w:t>
      </w:r>
    </w:p>
    <w:p>
      <w:pPr>
        <w:spacing w:after="60" w:line="264" w:lineRule="auto"/>
        <w:ind w:left="259"/>
      </w:pPr>
      <w:r>
        <w:rPr>
          <w:rFonts w:ascii="Calibri" w:hAnsi="Calibri"/>
          <w:b/>
          <w:color w:val="17365D"/>
        </w:rPr>
        <w:t xml:space="preserve">Step 4: </w:t>
      </w:r>
      <w:r>
        <w:t>The agent runtime validates and executes the corresponding Python function.</w:t>
      </w:r>
    </w:p>
    <w:p>
      <w:pPr>
        <w:spacing w:after="60" w:line="264" w:lineRule="auto"/>
        <w:ind w:left="259"/>
      </w:pPr>
      <w:r>
        <w:rPr>
          <w:rFonts w:ascii="Calibri" w:hAnsi="Calibri"/>
          <w:b/>
          <w:color w:val="17365D"/>
        </w:rPr>
        <w:t xml:space="preserve">Step 5: </w:t>
      </w:r>
      <w:r>
        <w:t>The tool result is returned to the model, which produces the final explanation.</w:t>
      </w:r>
    </w:p>
    <w:p>
      <w:pPr>
        <w:pStyle w:val="EquationBlock"/>
        <w:shd w:fill="F7F9FC"/>
        <w:keepLines/>
        <w:pBdr>
          <w:left w:val="single" w:sz="16" w:space="8" w:color="98A2B3"/>
        </w:pBdr>
      </w:pPr>
      <w:r>
        <w:rPr>
          <w:rFonts w:ascii="Consolas" w:hAnsi="Consolas"/>
          <w:color w:val="1D2939"/>
          <w:sz w:val="18"/>
        </w:rPr>
        <w:t>{</w:t>
      </w:r>
      <w:r>
        <w:br/>
      </w:r>
      <w:r>
        <w:rPr>
          <w:rFonts w:ascii="Consolas" w:hAnsi="Consolas"/>
          <w:color w:val="1D2939"/>
          <w:sz w:val="18"/>
        </w:rPr>
        <w:t xml:space="preserve">  "name": "verify_isolator",</w:t>
      </w:r>
      <w:r>
        <w:br/>
      </w:r>
      <w:r>
        <w:rPr>
          <w:rFonts w:ascii="Consolas" w:hAnsi="Consolas"/>
          <w:color w:val="1D2939"/>
          <w:sz w:val="18"/>
        </w:rPr>
        <w:t xml:space="preserve">  "arguments": {</w:t>
      </w:r>
      <w:r>
        <w:br/>
      </w:r>
      <w:r>
        <w:rPr>
          <w:rFonts w:ascii="Consolas" w:hAnsi="Consolas"/>
          <w:color w:val="1D2939"/>
          <w:sz w:val="18"/>
        </w:rPr>
        <w:t xml:space="preserve">    "mass_kg": 800,</w:t>
      </w:r>
      <w:r>
        <w:br/>
      </w:r>
      <w:r>
        <w:rPr>
          <w:rFonts w:ascii="Consolas" w:hAnsi="Consolas"/>
          <w:color w:val="1D2939"/>
          <w:sz w:val="18"/>
        </w:rPr>
        <w:t xml:space="preserve">    "mount_count": 4,</w:t>
      </w:r>
      <w:r>
        <w:br/>
      </w:r>
      <w:r>
        <w:rPr>
          <w:rFonts w:ascii="Consolas" w:hAnsi="Consolas"/>
          <w:color w:val="1D2939"/>
          <w:sz w:val="18"/>
        </w:rPr>
        <w:t xml:space="preserve">    "shock_g": 15,</w:t>
      </w:r>
      <w:r>
        <w:br/>
      </w:r>
      <w:r>
        <w:rPr>
          <w:rFonts w:ascii="Consolas" w:hAnsi="Consolas"/>
          <w:color w:val="1D2939"/>
          <w:sz w:val="18"/>
        </w:rPr>
        <w:t xml:space="preserve">    "pulse_duration_ms": 11</w:t>
      </w:r>
      <w:r>
        <w:br/>
      </w:r>
      <w:r>
        <w:rPr>
          <w:rFonts w:ascii="Consolas" w:hAnsi="Consolas"/>
          <w:color w:val="1D2939"/>
          <w:sz w:val="18"/>
        </w:rPr>
        <w:t xml:space="preserve">  }</w:t>
      </w:r>
      <w:r>
        <w:br/>
      </w:r>
      <w:r>
        <w:rPr>
          <w:rFonts w:ascii="Consolas" w:hAnsi="Consolas"/>
          <w:color w:val="1D2939"/>
          <w:sz w:val="18"/>
        </w:rPr>
        <w:t>}</w:t>
      </w:r>
    </w:p>
    <w:p>
      <w:r>
        <w:t>This mechanism is called tool calling or function calling. It is different from RAG because the LLM is selecting an executable function rather than retrieving a semantically similar knowledge passage.</w:t>
      </w:r>
    </w:p>
    <w:p>
      <w:pPr>
        <w:pStyle w:val="Heading1"/>
      </w:pPr>
      <w:r>
        <w:t>7. Simplified Self-Attention Calculation</w:t>
      </w:r>
    </w:p>
    <w:p>
      <w:r>
        <w:t>A safer architectural description is decoder-style autoregressive Transformer inference. Do not describe LangChain itself as an encoder-decoder network. The exact selected-model architecture should be confirmed from its official model card.</w:t>
      </w:r>
    </w:p>
    <w:p>
      <w:pPr>
        <w:pStyle w:val="EquationBlock"/>
        <w:shd w:fill="F7F9FC"/>
        <w:keepLines/>
        <w:pBdr>
          <w:left w:val="single" w:sz="16" w:space="8" w:color="98A2B3"/>
        </w:pBdr>
      </w:pPr>
      <w:r>
        <w:rPr>
          <w:rFonts w:ascii="Consolas" w:hAnsi="Consolas"/>
          <w:color w:val="1D2939"/>
          <w:sz w:val="18"/>
        </w:rPr>
        <w:t>Attention(Q,K,V) = softmax(QK^T / sqrt(d_k))V</w:t>
      </w:r>
    </w:p>
    <w:p>
      <w:pPr>
        <w:spacing w:after="60"/>
        <w:ind w:left="259"/>
      </w:pPr>
      <w:r>
        <w:t>Q represents what the current token is looking for.</w:t>
      </w:r>
    </w:p>
    <w:p>
      <w:pPr>
        <w:spacing w:after="60"/>
        <w:ind w:left="259"/>
      </w:pPr>
      <w:r>
        <w:t>K represents information available from other tokens.</w:t>
      </w:r>
    </w:p>
    <w:p>
      <w:pPr>
        <w:spacing w:after="60"/>
        <w:ind w:left="259"/>
      </w:pPr>
      <w:r>
        <w:t>V represents the information carried by those tokens.</w:t>
      </w:r>
    </w:p>
    <w:p>
      <w:pPr>
        <w:spacing w:after="60"/>
        <w:ind w:left="259"/>
      </w:pPr>
      <w:r>
        <w:t>d_k is the key-vector dimension used for score scaling.</w:t>
      </w:r>
    </w:p>
    <w:p>
      <w:pPr>
        <w:pStyle w:val="Heading2"/>
      </w:pPr>
      <w:r>
        <w:t>7.1 Manual example</w:t>
      </w:r>
    </w:p>
    <w:p>
      <w:pPr>
        <w:pStyle w:val="EquationBlock"/>
        <w:shd w:fill="F7F9FC"/>
        <w:keepLines/>
        <w:pBdr>
          <w:left w:val="single" w:sz="16" w:space="8" w:color="98A2B3"/>
        </w:pBdr>
      </w:pPr>
      <w:r>
        <w:rPr>
          <w:rFonts w:ascii="Consolas" w:hAnsi="Consolas"/>
          <w:color w:val="1D2939"/>
          <w:sz w:val="18"/>
        </w:rPr>
        <w:t>Q  = [1, 0]</w:t>
      </w:r>
      <w:r>
        <w:br/>
      </w:r>
      <w:r>
        <w:rPr>
          <w:rFonts w:ascii="Consolas" w:hAnsi="Consolas"/>
          <w:color w:val="1D2939"/>
          <w:sz w:val="18"/>
        </w:rPr>
        <w:t>K1 = [1, 0]    K2 = [0, 1]</w:t>
      </w:r>
      <w:r>
        <w:br/>
      </w:r>
      <w:r>
        <w:rPr>
          <w:rFonts w:ascii="Consolas" w:hAnsi="Consolas"/>
          <w:color w:val="1D2939"/>
          <w:sz w:val="18"/>
        </w:rPr>
        <w:t>V1 = [10, 0]   V2 = [0, 6]</w:t>
      </w:r>
      <w:r>
        <w:br/>
      </w:r>
      <w:r>
        <w:rPr>
          <w:rFonts w:ascii="Consolas" w:hAnsi="Consolas"/>
          <w:color w:val="1D2939"/>
          <w:sz w:val="18"/>
        </w:rPr>
      </w:r>
      <w:r>
        <w:br/>
      </w:r>
      <w:r>
        <w:rPr>
          <w:rFonts w:ascii="Consolas" w:hAnsi="Consolas"/>
          <w:color w:val="1D2939"/>
          <w:sz w:val="18"/>
        </w:rPr>
        <w:t>Raw scores: Q dot K1 = 1, Q dot K2 = 0</w:t>
      </w:r>
      <w:r>
        <w:br/>
      </w:r>
      <w:r>
        <w:rPr>
          <w:rFonts w:ascii="Consolas" w:hAnsi="Consolas"/>
          <w:color w:val="1D2939"/>
          <w:sz w:val="18"/>
        </w:rPr>
        <w:t>Scaled scores: [1/sqrt(2), 0] = [0.707, 0]</w:t>
      </w:r>
      <w:r>
        <w:br/>
      </w:r>
      <w:r>
        <w:rPr>
          <w:rFonts w:ascii="Consolas" w:hAnsi="Consolas"/>
          <w:color w:val="1D2939"/>
          <w:sz w:val="18"/>
        </w:rPr>
        <w:t>softmax([0.707, 0]) = approximately [0.67, 0.33]</w:t>
      </w:r>
      <w:r>
        <w:br/>
      </w:r>
      <w:r>
        <w:rPr>
          <w:rFonts w:ascii="Consolas" w:hAnsi="Consolas"/>
          <w:color w:val="1D2939"/>
          <w:sz w:val="18"/>
        </w:rPr>
      </w:r>
      <w:r>
        <w:br/>
      </w:r>
      <w:r>
        <w:rPr>
          <w:rFonts w:ascii="Consolas" w:hAnsi="Consolas"/>
          <w:color w:val="1D2939"/>
          <w:sz w:val="18"/>
        </w:rPr>
        <w:t>Output = 0.67 x V1 + 0.33 x V2</w:t>
      </w:r>
      <w:r>
        <w:br/>
      </w:r>
      <w:r>
        <w:rPr>
          <w:rFonts w:ascii="Consolas" w:hAnsi="Consolas"/>
          <w:color w:val="1D2939"/>
          <w:sz w:val="18"/>
        </w:rPr>
        <w:t xml:space="preserve">       = [6.70, 1.98]</w:t>
      </w:r>
    </w:p>
    <w:p>
      <w:r>
        <w:t>The output combines information from both tokens but gives more weight to the first. Across many layers and attention heads, this allows the model to relate question tokens to instructions, tool descriptions and argument fields.</w:t>
      </w:r>
    </w:p>
    <w:p>
      <w:pPr>
        <w:pStyle w:val="TechnicalNote"/>
        <w:shd w:fill="FFF7E6"/>
        <w:pBdr>
          <w:left w:val="single" w:sz="16" w:space="8" w:color="2E74B5"/>
        </w:pBdr>
      </w:pPr>
      <w:r>
        <w:rPr>
          <w:rFonts w:ascii="Calibri" w:hAnsi="Calibri"/>
          <w:b/>
          <w:color w:val="17365D"/>
        </w:rPr>
        <w:t xml:space="preserve">Scientific limitation: </w:t>
      </w:r>
      <w:r>
        <w:rPr>
          <w:rFonts w:ascii="Calibri" w:hAnsi="Calibri"/>
          <w:color w:val="17365D"/>
        </w:rPr>
        <w:t>This is an explanatory calculation, not a literal trace proving why the deployed model selected one tool. Tool-call accuracy must still be established experimentally.</w:t>
      </w:r>
    </w:p>
    <w:p>
      <w:pPr>
        <w:pStyle w:val="Heading1"/>
      </w:pPr>
      <w:r>
        <w:t>8. Fine-Tuning and LoRA Mathematics</w:t>
      </w:r>
    </w:p>
    <w:p>
      <w:pPr>
        <w:pStyle w:val="Heading2"/>
      </w:pPr>
      <w:r>
        <w:t>8.1 Full fine-tuning</w:t>
      </w:r>
    </w:p>
    <w:p>
      <w:pPr>
        <w:pStyle w:val="EquationBlock"/>
        <w:shd w:fill="F7F9FC"/>
        <w:keepLines/>
        <w:pBdr>
          <w:left w:val="single" w:sz="16" w:space="8" w:color="98A2B3"/>
        </w:pBdr>
      </w:pPr>
      <w:r>
        <w:rPr>
          <w:rFonts w:ascii="Consolas" w:hAnsi="Consolas"/>
          <w:color w:val="1D2939"/>
          <w:sz w:val="18"/>
        </w:rPr>
        <w:t>Cross-entropy loss:</w:t>
      </w:r>
      <w:r>
        <w:br/>
      </w:r>
      <w:r>
        <w:rPr>
          <w:rFonts w:ascii="Consolas" w:hAnsi="Consolas"/>
          <w:color w:val="1D2939"/>
          <w:sz w:val="18"/>
        </w:rPr>
        <w:t>Loss = -sum log P_theta(correct token | previous tokens)</w:t>
      </w:r>
      <w:r>
        <w:br/>
      </w:r>
      <w:r>
        <w:rPr>
          <w:rFonts w:ascii="Consolas" w:hAnsi="Consolas"/>
          <w:color w:val="1D2939"/>
          <w:sz w:val="18"/>
        </w:rPr>
      </w:r>
      <w:r>
        <w:br/>
      </w:r>
      <w:r>
        <w:rPr>
          <w:rFonts w:ascii="Consolas" w:hAnsi="Consolas"/>
          <w:color w:val="1D2939"/>
          <w:sz w:val="18"/>
        </w:rPr>
        <w:t>Gradient update:</w:t>
      </w:r>
      <w:r>
        <w:br/>
      </w:r>
      <w:r>
        <w:rPr>
          <w:rFonts w:ascii="Consolas" w:hAnsi="Consolas"/>
          <w:color w:val="1D2939"/>
          <w:sz w:val="18"/>
        </w:rPr>
        <w:t>new weight = old weight - learning rate x gradient</w:t>
      </w:r>
      <w:r>
        <w:br/>
      </w:r>
      <w:r>
        <w:rPr>
          <w:rFonts w:ascii="Consolas" w:hAnsi="Consolas"/>
          <w:color w:val="1D2939"/>
          <w:sz w:val="18"/>
        </w:rPr>
      </w:r>
      <w:r>
        <w:br/>
      </w:r>
      <w:r>
        <w:rPr>
          <w:rFonts w:ascii="Consolas" w:hAnsi="Consolas"/>
          <w:color w:val="1D2939"/>
          <w:sz w:val="18"/>
        </w:rPr>
        <w:t>Toy example:</w:t>
      </w:r>
      <w:r>
        <w:br/>
      </w:r>
      <w:r>
        <w:rPr>
          <w:rFonts w:ascii="Consolas" w:hAnsi="Consolas"/>
          <w:color w:val="1D2939"/>
          <w:sz w:val="18"/>
        </w:rPr>
        <w:t>0.50 - (0.10 x -0.20) = 0.52</w:t>
      </w:r>
    </w:p>
    <w:p>
      <w:r>
        <w:t>Full fine-tuning updates most or all model weights and requires memory for the weights, gradients, optimiser states and activations.</w:t>
      </w:r>
    </w:p>
    <w:p>
      <w:pPr>
        <w:pStyle w:val="Heading2"/>
      </w:pPr>
      <w:r>
        <w:t>8.2 LoRA</w:t>
      </w:r>
    </w:p>
    <w:p>
      <w:pPr>
        <w:pStyle w:val="EquationBlock"/>
        <w:shd w:fill="F7F9FC"/>
        <w:keepLines/>
        <w:pBdr>
          <w:left w:val="single" w:sz="16" w:space="8" w:color="98A2B3"/>
        </w:pBdr>
      </w:pPr>
      <w:r>
        <w:rPr>
          <w:rFonts w:ascii="Consolas" w:hAnsi="Consolas"/>
          <w:color w:val="1D2939"/>
          <w:sz w:val="18"/>
        </w:rPr>
        <w:t>W' = W0 + (alpha/r)BA</w:t>
      </w:r>
    </w:p>
    <w:p>
      <w:pPr>
        <w:spacing w:after="60"/>
        <w:ind w:left="259"/>
      </w:pPr>
      <w:r>
        <w:t>W0 is the frozen pretrained weight matrix.</w:t>
      </w:r>
    </w:p>
    <w:p>
      <w:pPr>
        <w:spacing w:after="60"/>
        <w:ind w:left="259"/>
      </w:pPr>
      <w:r>
        <w:t>A and B are small trainable low-rank matrices.</w:t>
      </w:r>
    </w:p>
    <w:p>
      <w:pPr>
        <w:spacing w:after="60"/>
        <w:ind w:left="259"/>
      </w:pPr>
      <w:r>
        <w:t>r is the adapter rank and is much smaller than the full matrix dimension.</w:t>
      </w:r>
    </w:p>
    <w:p>
      <w:pPr>
        <w:spacing w:after="60"/>
        <w:ind w:left="259"/>
      </w:pPr>
      <w:r>
        <w:t>alpha controls the scale of the learned update.</w:t>
      </w:r>
    </w:p>
    <w:p>
      <w:pPr>
        <w:pStyle w:val="Heading2"/>
      </w:pPr>
      <w:r>
        <w:t>8.3 LoRA parameter-count example</w:t>
      </w:r>
    </w:p>
    <w:p>
      <w:pPr>
        <w:pStyle w:val="EquationBlock"/>
        <w:shd w:fill="F7F9FC"/>
        <w:keepLines/>
        <w:pBdr>
          <w:left w:val="single" w:sz="16" w:space="8" w:color="98A2B3"/>
        </w:pBdr>
      </w:pPr>
      <w:r>
        <w:rPr>
          <w:rFonts w:ascii="Consolas" w:hAnsi="Consolas"/>
          <w:color w:val="1D2939"/>
          <w:sz w:val="18"/>
        </w:rPr>
        <w:t>Original matrix W0 = 4,096 x 4,096</w:t>
      </w:r>
      <w:r>
        <w:br/>
      </w:r>
      <w:r>
        <w:rPr>
          <w:rFonts w:ascii="Consolas" w:hAnsi="Consolas"/>
          <w:color w:val="1D2939"/>
          <w:sz w:val="18"/>
        </w:rPr>
        <w:t>Original parameters = 16,777,216</w:t>
      </w:r>
      <w:r>
        <w:br/>
      </w:r>
      <w:r>
        <w:rPr>
          <w:rFonts w:ascii="Consolas" w:hAnsi="Consolas"/>
          <w:color w:val="1D2939"/>
          <w:sz w:val="18"/>
        </w:rPr>
      </w:r>
      <w:r>
        <w:br/>
      </w:r>
      <w:r>
        <w:rPr>
          <w:rFonts w:ascii="Consolas" w:hAnsi="Consolas"/>
          <w:color w:val="1D2939"/>
          <w:sz w:val="18"/>
        </w:rPr>
        <w:t>LoRA rank r = 8</w:t>
      </w:r>
      <w:r>
        <w:br/>
      </w:r>
      <w:r>
        <w:rPr>
          <w:rFonts w:ascii="Consolas" w:hAnsi="Consolas"/>
          <w:color w:val="1D2939"/>
          <w:sz w:val="18"/>
        </w:rPr>
        <w:t>A = 8 x 4,096       B = 4,096 x 8</w:t>
      </w:r>
      <w:r>
        <w:br/>
      </w:r>
      <w:r>
        <w:rPr>
          <w:rFonts w:ascii="Consolas" w:hAnsi="Consolas"/>
          <w:color w:val="1D2939"/>
          <w:sz w:val="18"/>
        </w:rPr>
        <w:t>Trainable parameters = 32,768 + 32,768 = 65,536</w:t>
      </w:r>
      <w:r>
        <w:br/>
      </w:r>
      <w:r>
        <w:rPr>
          <w:rFonts w:ascii="Consolas" w:hAnsi="Consolas"/>
          <w:color w:val="1D2939"/>
          <w:sz w:val="18"/>
        </w:rPr>
      </w:r>
      <w:r>
        <w:br/>
      </w:r>
      <w:r>
        <w:rPr>
          <w:rFonts w:ascii="Consolas" w:hAnsi="Consolas"/>
          <w:color w:val="1D2939"/>
          <w:sz w:val="18"/>
        </w:rPr>
        <w:t>Trainable fraction = 65,536 / 16,777,216 x 100</w:t>
      </w:r>
      <w:r>
        <w:br/>
      </w:r>
      <w:r>
        <w:rPr>
          <w:rFonts w:ascii="Consolas" w:hAnsi="Consolas"/>
          <w:color w:val="1D2939"/>
          <w:sz w:val="18"/>
        </w:rPr>
        <w:t xml:space="preserve">                   = approximately 0.39%</w:t>
      </w:r>
    </w:p>
    <w:p>
      <w:r>
        <w:t>LoRA therefore adapts the model using a small fraction of the original parameters. In QLoRA, the quantised base model remains frozen while the smaller adapter parameters are trained at higher precision.</w:t>
      </w:r>
    </w:p>
    <w:p>
      <w:pPr>
        <w:pStyle w:val="EquationBlock"/>
        <w:shd w:fill="F7F9FC"/>
        <w:keepLines/>
        <w:pBdr>
          <w:left w:val="single" w:sz="16" w:space="8" w:color="98A2B3"/>
        </w:pBdr>
      </w:pPr>
      <w:r>
        <w:rPr>
          <w:rFonts w:ascii="Consolas" w:hAnsi="Consolas"/>
          <w:color w:val="1D2939"/>
          <w:sz w:val="18"/>
        </w:rPr>
        <w:t>Quantised base model -&gt; freeze base weights -&gt; train LoRA adapter</w:t>
      </w:r>
      <w:r>
        <w:br/>
      </w:r>
      <w:r>
        <w:rPr>
          <w:rFonts w:ascii="Consolas" w:hAnsi="Consolas"/>
          <w:color w:val="1D2939"/>
          <w:sz w:val="18"/>
        </w:rPr>
        <w:t>-&gt; validate -&gt; merge if required -&gt; export and quantise</w:t>
      </w:r>
      <w:r>
        <w:br/>
      </w:r>
      <w:r>
        <w:rPr>
          <w:rFonts w:ascii="Consolas" w:hAnsi="Consolas"/>
          <w:color w:val="1D2939"/>
          <w:sz w:val="18"/>
        </w:rPr>
        <w:t>-&gt; deploy through Ollama or llama.cpp</w:t>
      </w:r>
    </w:p>
    <w:p>
      <w:pPr>
        <w:pStyle w:val="TechnicalNote"/>
        <w:shd w:fill="EAF2F8"/>
        <w:pBdr>
          <w:left w:val="single" w:sz="16" w:space="8" w:color="2E74B5"/>
        </w:pBdr>
      </w:pPr>
      <w:r>
        <w:rPr>
          <w:rFonts w:ascii="Calibri" w:hAnsi="Calibri"/>
          <w:b/>
          <w:color w:val="17365D"/>
        </w:rPr>
        <w:t xml:space="preserve">Correct wording: </w:t>
      </w:r>
      <w:r>
        <w:rPr>
          <w:rFonts w:ascii="Calibri" w:hAnsi="Calibri"/>
          <w:color w:val="17365D"/>
        </w:rPr>
        <w:t>Fine-tuning is controlled optimisation of model parameters against training examples. It should not be described as manually editing individual facts or weights.</w:t>
      </w:r>
    </w:p>
    <w:p>
      <w:pPr>
        <w:pStyle w:val="Heading1"/>
      </w:pPr>
      <w:r>
        <w:t>9. Evaluation-Guided Improvement</w:t>
      </w:r>
    </w:p>
    <w:p>
      <w:r>
        <w:t>The B/C/D experiment produces a failure taxonomy that indicates which system component should be changed. This avoids using fine-tuning as the default answer to every failure.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100"/>
        <w:gridCol w:w="6260"/>
      </w:tblGrid>
      <w:tr>
        <w:trPr>
          <w:tblHeader w:val="true"/>
        </w:trPr>
        <w:tc>
          <w:tcPr>
            <w:tcW w:type="dxa" w:w="3100"/>
            <w:shd w:fill="17365D"/>
            <w:tcMar>
              <w:top w:w="100" w:type="dxa"/>
              <w:start w:w="120" w:type="dxa"/>
              <w:bottom w:w="100" w:type="dxa"/>
              <w:end w:w="120" w:type="dxa"/>
            </w:tcMar>
          </w:tcPr>
          <w:p>
            <w:r>
              <w:rPr>
                <w:rFonts w:ascii="Calibri" w:hAnsi="Calibri"/>
                <w:b/>
                <w:color w:val="FFFFFF"/>
                <w:sz w:val="18"/>
              </w:rPr>
              <w:t>Observed failure</w:t>
            </w:r>
          </w:p>
        </w:tc>
        <w:tc>
          <w:tcPr>
            <w:tcW w:type="dxa" w:w="6260"/>
            <w:shd w:fill="17365D"/>
            <w:tcMar>
              <w:top w:w="100" w:type="dxa"/>
              <w:start w:w="120" w:type="dxa"/>
              <w:bottom w:w="100" w:type="dxa"/>
              <w:end w:w="120" w:type="dxa"/>
            </w:tcMar>
          </w:tcPr>
          <w:p>
            <w:r>
              <w:rPr>
                <w:rFonts w:ascii="Calibri" w:hAnsi="Calibri"/>
                <w:b/>
                <w:color w:val="FFFFFF"/>
                <w:sz w:val="18"/>
              </w:rPr>
              <w:t>Appropriate intervention</w:t>
            </w:r>
          </w:p>
        </w:tc>
      </w:tr>
      <w:tr>
        <w:tc>
          <w:tcPr>
            <w:tcW w:type="dxa" w:w="3100"/>
            <w:vAlign w:val="center"/>
            <w:tcMar>
              <w:top w:w="100" w:type="dxa"/>
              <w:start w:w="120" w:type="dxa"/>
              <w:bottom w:w="100" w:type="dxa"/>
              <w:end w:w="120" w:type="dxa"/>
            </w:tcMar>
          </w:tcPr>
          <w:p>
            <w:r>
              <w:rPr>
                <w:rFonts w:ascii="Calibri" w:hAnsi="Calibri"/>
                <w:b/>
                <w:color w:val="1D2939"/>
                <w:sz w:val="18"/>
              </w:rPr>
              <w:t>Python calculation or catalogue error</w:t>
            </w:r>
          </w:p>
        </w:tc>
        <w:tc>
          <w:tcPr>
            <w:tcW w:type="dxa" w:w="6260"/>
            <w:vAlign w:val="center"/>
            <w:tcMar>
              <w:top w:w="100" w:type="dxa"/>
              <w:start w:w="120" w:type="dxa"/>
              <w:bottom w:w="100" w:type="dxa"/>
              <w:end w:w="120" w:type="dxa"/>
            </w:tcMar>
          </w:tcPr>
          <w:p>
            <w:r>
              <w:rPr>
                <w:rFonts w:ascii="Calibri" w:hAnsi="Calibri"/>
                <w:b w:val="0"/>
                <w:color w:val="1D2939"/>
                <w:sz w:val="18"/>
              </w:rPr>
              <w:t>Fix and revalidate the deterministic tool.</w:t>
            </w:r>
          </w:p>
        </w:tc>
      </w:tr>
      <w:tr>
        <w:tc>
          <w:tcPr>
            <w:tcW w:type="dxa" w:w="3100"/>
            <w:vAlign w:val="center"/>
            <w:shd w:fill="F2F4F7"/>
            <w:tcMar>
              <w:top w:w="100" w:type="dxa"/>
              <w:start w:w="120" w:type="dxa"/>
              <w:bottom w:w="100" w:type="dxa"/>
              <w:end w:w="120" w:type="dxa"/>
            </w:tcMar>
          </w:tcPr>
          <w:p>
            <w:r>
              <w:rPr>
                <w:rFonts w:ascii="Calibri" w:hAnsi="Calibri"/>
                <w:b/>
                <w:color w:val="1D2939"/>
                <w:sz w:val="18"/>
              </w:rPr>
              <w:t>Wrong tool selected</w:t>
            </w:r>
          </w:p>
        </w:tc>
        <w:tc>
          <w:tcPr>
            <w:tcW w:type="dxa" w:w="6260"/>
            <w:vAlign w:val="center"/>
            <w:shd w:fill="F2F4F7"/>
            <w:tcMar>
              <w:top w:w="100" w:type="dxa"/>
              <w:start w:w="120" w:type="dxa"/>
              <w:bottom w:w="100" w:type="dxa"/>
              <w:end w:w="120" w:type="dxa"/>
            </w:tcMar>
          </w:tcPr>
          <w:p>
            <w:r>
              <w:rPr>
                <w:rFonts w:ascii="Calibri" w:hAnsi="Calibri"/>
                <w:b w:val="0"/>
                <w:color w:val="1D2939"/>
                <w:sz w:val="18"/>
              </w:rPr>
              <w:t>Improve the tool description, prompt or tool-use training.</w:t>
            </w:r>
          </w:p>
        </w:tc>
      </w:tr>
      <w:tr>
        <w:tc>
          <w:tcPr>
            <w:tcW w:type="dxa" w:w="3100"/>
            <w:vAlign w:val="center"/>
            <w:tcMar>
              <w:top w:w="100" w:type="dxa"/>
              <w:start w:w="120" w:type="dxa"/>
              <w:bottom w:w="100" w:type="dxa"/>
              <w:end w:w="120" w:type="dxa"/>
            </w:tcMar>
          </w:tcPr>
          <w:p>
            <w:r>
              <w:rPr>
                <w:rFonts w:ascii="Calibri" w:hAnsi="Calibri"/>
                <w:b/>
                <w:color w:val="1D2939"/>
                <w:sz w:val="18"/>
              </w:rPr>
              <w:t>Correct tool but wrong arguments</w:t>
            </w:r>
          </w:p>
        </w:tc>
        <w:tc>
          <w:tcPr>
            <w:tcW w:type="dxa" w:w="6260"/>
            <w:vAlign w:val="center"/>
            <w:tcMar>
              <w:top w:w="100" w:type="dxa"/>
              <w:start w:w="120" w:type="dxa"/>
              <w:bottom w:w="100" w:type="dxa"/>
              <w:end w:w="120" w:type="dxa"/>
            </w:tcMar>
          </w:tcPr>
          <w:p>
            <w:r>
              <w:rPr>
                <w:rFonts w:ascii="Calibri" w:hAnsi="Calibri"/>
                <w:b w:val="0"/>
                <w:color w:val="1D2939"/>
                <w:sz w:val="18"/>
              </w:rPr>
              <w:t>Improve argument schemas; use LoRA only for residual model behaviour.</w:t>
            </w:r>
          </w:p>
        </w:tc>
      </w:tr>
      <w:tr>
        <w:tc>
          <w:tcPr>
            <w:tcW w:type="dxa" w:w="3100"/>
            <w:vAlign w:val="center"/>
            <w:shd w:fill="F2F4F7"/>
            <w:tcMar>
              <w:top w:w="100" w:type="dxa"/>
              <w:start w:w="120" w:type="dxa"/>
              <w:bottom w:w="100" w:type="dxa"/>
              <w:end w:w="120" w:type="dxa"/>
            </w:tcMar>
          </w:tcPr>
          <w:p>
            <w:r>
              <w:rPr>
                <w:rFonts w:ascii="Calibri" w:hAnsi="Calibri"/>
                <w:b/>
                <w:color w:val="1D2939"/>
                <w:sz w:val="18"/>
              </w:rPr>
              <w:t>Relevant passage not retrieved</w:t>
            </w:r>
          </w:p>
        </w:tc>
        <w:tc>
          <w:tcPr>
            <w:tcW w:type="dxa" w:w="6260"/>
            <w:vAlign w:val="center"/>
            <w:shd w:fill="F2F4F7"/>
            <w:tcMar>
              <w:top w:w="100" w:type="dxa"/>
              <w:start w:w="120" w:type="dxa"/>
              <w:bottom w:w="100" w:type="dxa"/>
              <w:end w:w="120" w:type="dxa"/>
            </w:tcMar>
          </w:tcPr>
          <w:p>
            <w:r>
              <w:rPr>
                <w:rFonts w:ascii="Calibri" w:hAnsi="Calibri"/>
                <w:b w:val="0"/>
                <w:color w:val="1D2939"/>
                <w:sz w:val="18"/>
              </w:rPr>
              <w:t>Improve corpus content, chunking, embedding or retrieval settings.</w:t>
            </w:r>
          </w:p>
        </w:tc>
      </w:tr>
      <w:tr>
        <w:tc>
          <w:tcPr>
            <w:tcW w:type="dxa" w:w="3100"/>
            <w:vAlign w:val="center"/>
            <w:tcMar>
              <w:top w:w="100" w:type="dxa"/>
              <w:start w:w="120" w:type="dxa"/>
              <w:bottom w:w="100" w:type="dxa"/>
              <w:end w:w="120" w:type="dxa"/>
            </w:tcMar>
          </w:tcPr>
          <w:p>
            <w:r>
              <w:rPr>
                <w:rFonts w:ascii="Calibri" w:hAnsi="Calibri"/>
                <w:b/>
                <w:color w:val="1D2939"/>
                <w:sz w:val="18"/>
              </w:rPr>
              <w:t>Passage retrieved but not cited</w:t>
            </w:r>
          </w:p>
        </w:tc>
        <w:tc>
          <w:tcPr>
            <w:tcW w:type="dxa" w:w="6260"/>
            <w:vAlign w:val="center"/>
            <w:tcMar>
              <w:top w:w="100" w:type="dxa"/>
              <w:start w:w="120" w:type="dxa"/>
              <w:bottom w:w="100" w:type="dxa"/>
              <w:end w:w="120" w:type="dxa"/>
            </w:tcMar>
          </w:tcPr>
          <w:p>
            <w:r>
              <w:rPr>
                <w:rFonts w:ascii="Calibri" w:hAnsi="Calibri"/>
                <w:b w:val="0"/>
                <w:color w:val="1D2939"/>
                <w:sz w:val="18"/>
              </w:rPr>
              <w:t>Improve citation instructions or add a deterministic citation guard.</w:t>
            </w:r>
          </w:p>
        </w:tc>
      </w:tr>
      <w:tr>
        <w:tc>
          <w:tcPr>
            <w:tcW w:type="dxa" w:w="3100"/>
            <w:vAlign w:val="center"/>
            <w:shd w:fill="F2F4F7"/>
            <w:tcMar>
              <w:top w:w="100" w:type="dxa"/>
              <w:start w:w="120" w:type="dxa"/>
              <w:bottom w:w="100" w:type="dxa"/>
              <w:end w:w="120" w:type="dxa"/>
            </w:tcMar>
          </w:tcPr>
          <w:p>
            <w:r>
              <w:rPr>
                <w:rFonts w:ascii="Calibri" w:hAnsi="Calibri"/>
                <w:b/>
                <w:color w:val="1D2939"/>
                <w:sz w:val="18"/>
              </w:rPr>
              <w:t>Correct evidence but wrong verdict</w:t>
            </w:r>
          </w:p>
        </w:tc>
        <w:tc>
          <w:tcPr>
            <w:tcW w:type="dxa" w:w="6260"/>
            <w:vAlign w:val="center"/>
            <w:shd w:fill="F2F4F7"/>
            <w:tcMar>
              <w:top w:w="100" w:type="dxa"/>
              <w:start w:w="120" w:type="dxa"/>
              <w:bottom w:w="100" w:type="dxa"/>
              <w:end w:w="120" w:type="dxa"/>
            </w:tcMar>
          </w:tcPr>
          <w:p>
            <w:r>
              <w:rPr>
                <w:rFonts w:ascii="Calibri" w:hAnsi="Calibri"/>
                <w:b w:val="0"/>
                <w:color w:val="1D2939"/>
                <w:sz w:val="18"/>
              </w:rPr>
              <w:t>Improve the output guard or adapt the model on separate training data.</w:t>
            </w:r>
          </w:p>
        </w:tc>
      </w:tr>
    </w:tbl>
    <w:p>
      <w:pPr>
        <w:pStyle w:val="TechnicalNote"/>
        <w:shd w:fill="FDECEC"/>
        <w:pBdr>
          <w:left w:val="single" w:sz="16" w:space="8" w:color="2E74B5"/>
        </w:pBdr>
      </w:pPr>
      <w:r>
        <w:rPr>
          <w:rFonts w:ascii="Calibri" w:hAnsi="Calibri"/>
          <w:b/>
          <w:color w:val="17365D"/>
        </w:rPr>
        <w:t xml:space="preserve">Test-set protection: </w:t>
      </w:r>
      <w:r>
        <w:rPr>
          <w:rFonts w:ascii="Calibri" w:hAnsi="Calibri"/>
          <w:color w:val="17365D"/>
        </w:rPr>
        <w:t>The completed 170-case benchmark must remain baseline v1. Improvements should be developed using separate cases, and the adapted E/F systems should be tested on a new untouched holdout set.</w:t>
      </w:r>
    </w:p>
    <w:p>
      <w:pPr>
        <w:pStyle w:val="Heading1"/>
      </w:pPr>
      <w:r>
        <w:t>10. Questions for the Supervisor</w:t>
      </w:r>
    </w:p>
    <w:p>
      <w:pPr>
        <w:spacing w:after="60" w:line="264" w:lineRule="auto"/>
        <w:ind w:left="259"/>
      </w:pPr>
      <w:r>
        <w:rPr>
          <w:rFonts w:ascii="Calibri" w:hAnsi="Calibri"/>
          <w:b/>
          <w:color w:val="17365D"/>
        </w:rPr>
        <w:t xml:space="preserve">Question 1: </w:t>
      </w:r>
      <w:r>
        <w:t>Is the 170-case benchmark sufficiently representative of the shock-mount workflow?</w:t>
      </w:r>
    </w:p>
    <w:p>
      <w:pPr>
        <w:spacing w:after="60" w:line="264" w:lineRule="auto"/>
        <w:ind w:left="259"/>
      </w:pPr>
      <w:r>
        <w:rPr>
          <w:rFonts w:ascii="Calibri" w:hAnsi="Calibri"/>
          <w:b/>
          <w:color w:val="17365D"/>
        </w:rPr>
        <w:t xml:space="preserve">Question 2: </w:t>
      </w:r>
      <w:r>
        <w:t>Are the proportions of boundary, missing-input and adversarial cases appropriate?</w:t>
      </w:r>
    </w:p>
    <w:p>
      <w:pPr>
        <w:spacing w:after="60" w:line="264" w:lineRule="auto"/>
        <w:ind w:left="259"/>
      </w:pPr>
      <w:r>
        <w:rPr>
          <w:rFonts w:ascii="Calibri" w:hAnsi="Calibri"/>
          <w:b/>
          <w:color w:val="17365D"/>
        </w:rPr>
        <w:t xml:space="preserve">Question 3: </w:t>
      </w:r>
      <w:r>
        <w:t>Is the deterministic Python oracle acceptable as the source of gold verdicts?</w:t>
      </w:r>
    </w:p>
    <w:p>
      <w:pPr>
        <w:spacing w:after="60" w:line="264" w:lineRule="auto"/>
        <w:ind w:left="259"/>
      </w:pPr>
      <w:r>
        <w:rPr>
          <w:rFonts w:ascii="Calibri" w:hAnsi="Calibri"/>
          <w:b/>
          <w:color w:val="17365D"/>
        </w:rPr>
        <w:t xml:space="preserve">Question 4: </w:t>
      </w:r>
      <w:r>
        <w:t>Should LoRA be a compulsory planned experiment or be applied only to residual model-behaviour failures?</w:t>
      </w:r>
    </w:p>
    <w:p>
      <w:pPr>
        <w:spacing w:after="60" w:line="264" w:lineRule="auto"/>
        <w:ind w:left="259"/>
      </w:pPr>
      <w:r>
        <w:rPr>
          <w:rFonts w:ascii="Calibri" w:hAnsi="Calibri"/>
          <w:b/>
          <w:color w:val="17365D"/>
        </w:rPr>
        <w:t xml:space="preserve">Question 5: </w:t>
      </w:r>
      <w:r>
        <w:t>After inspecting the current benchmark failures, is a completely new untouched E/F holdout required?</w:t>
      </w:r>
    </w:p>
    <w:p>
      <w:pPr>
        <w:spacing w:after="60" w:line="264" w:lineRule="auto"/>
        <w:ind w:left="259"/>
      </w:pPr>
      <w:r>
        <w:rPr>
          <w:rFonts w:ascii="Calibri" w:hAnsi="Calibri"/>
          <w:b/>
          <w:color w:val="17365D"/>
        </w:rPr>
        <w:t xml:space="preserve">Question 6: </w:t>
      </w:r>
      <w:r>
        <w:t>Is false-safe rate the correct primary safety metric?</w:t>
      </w:r>
    </w:p>
    <w:p>
      <w:pPr>
        <w:spacing w:after="60" w:line="264" w:lineRule="auto"/>
        <w:ind w:left="259"/>
      </w:pPr>
      <w:r>
        <w:rPr>
          <w:rFonts w:ascii="Calibri" w:hAnsi="Calibri"/>
          <w:b/>
          <w:color w:val="17365D"/>
        </w:rPr>
        <w:t xml:space="preserve">Question 7: </w:t>
      </w:r>
      <w:r>
        <w:t>Should the main contribution be framed as architecture evaluation, an evaluation framework, or both?</w:t>
      </w:r>
    </w:p>
    <w:p>
      <w:pPr>
        <w:pStyle w:val="Heading1"/>
      </w:pPr>
      <w:r>
        <w:t>11. Short Meeting Explanation</w:t>
      </w:r>
    </w:p>
    <w:p>
      <w:pPr>
        <w:pStyle w:val="TechnicalNote"/>
        <w:shd w:fill="EAF2F8"/>
        <w:pBdr>
          <w:left w:val="single" w:sz="16" w:space="8" w:color="2E74B5"/>
        </w:pBdr>
      </w:pPr>
      <w:r>
        <w:t>My project evaluates a secure local engineering-agent architecture rather than only building a chatbot. I first selected a local LLM based on hardware feasibility and controlled tool-calling tests. I then selected a local embedding model through retrieval evaluation. After freezing both components, I compared the raw model, the model with deterministic tools, and the model with tools plus RAG on 170 cases. Python tools retain calculation authority, while the LLM coordinates the workflow and RAG supplies traceable evidence. The failure taxonomy now determines whether each improvement should target code, prompting, retrieval or LoRA adaptation.</w:t>
      </w:r>
    </w:p>
    <w:p>
      <w:pPr>
        <w:pStyle w:val="Heading1"/>
      </w:pPr>
      <w:r>
        <w:t>12. Primary References</w:t>
      </w:r>
    </w:p>
    <w:p>
      <w:pPr>
        <w:spacing w:after="60"/>
        <w:ind w:left="259"/>
      </w:pPr>
      <w:hyperlink r:id="rId11">
        <w:r>
          <w:rPr>
            <w:color w:val="2E74B5"/>
            <w:u w:val="single"/>
          </w:rPr>
          <w:t>LangChain tool calling and model flow</w:t>
        </w:r>
      </w:hyperlink>
    </w:p>
    <w:p>
      <w:pPr>
        <w:spacing w:after="60"/>
        <w:ind w:left="259"/>
      </w:pPr>
      <w:hyperlink r:id="rId12">
        <w:r>
          <w:rPr>
            <w:color w:val="2E74B5"/>
            <w:u w:val="single"/>
          </w:rPr>
          <w:t>LangChain tool definitions</w:t>
        </w:r>
      </w:hyperlink>
    </w:p>
    <w:p>
      <w:pPr>
        <w:spacing w:after="60"/>
        <w:ind w:left="259"/>
      </w:pPr>
      <w:hyperlink r:id="rId13">
        <w:r>
          <w:rPr>
            <w:color w:val="2E74B5"/>
            <w:u w:val="single"/>
          </w:rPr>
          <w:t>Attention Is All You Need</w:t>
        </w:r>
      </w:hyperlink>
    </w:p>
    <w:p>
      <w:pPr>
        <w:spacing w:after="60"/>
        <w:ind w:left="259"/>
      </w:pPr>
      <w:hyperlink r:id="rId14">
        <w:r>
          <w:rPr>
            <w:color w:val="2E74B5"/>
            <w:u w:val="single"/>
          </w:rPr>
          <w:t>LoRA: Low-Rank Adaptation of Large Language Models</w:t>
        </w:r>
      </w:hyperlink>
    </w:p>
    <w:sectPr w:rsidR="00FC693F" w:rsidRPr="0006063C" w:rsidSect="00034616">
      <w:headerReference w:type="default" r:id="rId9"/>
      <w:footerReference w:type="default" r:id="rId10"/>
      <w:pgSz w:w="12240" w:h="15840"/>
      <w:pgMar w:top="1123"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7085"/>
        <w:sz w:val="17"/>
      </w:rPr>
      <w:t>FYP TECHNICAL EVIDENCE PACK  |  LOCAL ENGINEERING AI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648" w:hanging="288"/>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648" w:hanging="288"/>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spacing w:before="80" w:after="120" w:line="240" w:lineRule="auto"/>
      <w:ind w:left="317" w:right="173"/>
    </w:pPr>
    <w:rPr>
      <w:rFonts w:ascii="Consolas" w:hAnsi="Consolas"/>
      <w:sz w:val="18"/>
    </w:rPr>
  </w:style>
  <w:style w:type="paragraph" w:customStyle="1" w:styleId="TechnicalNote">
    <w:name w:val="Technical Note"/>
    <w:pPr>
      <w:spacing w:before="100" w:after="140"/>
      <w:ind w:left="259" w:right="173"/>
    </w:pPr>
    <w:rPr>
      <w:rFonts w:ascii="Calibri" w:hAnsi="Calibri"/>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langchain.com/oss/python/langchain/models" TargetMode="External"/><Relationship Id="rId12" Type="http://schemas.openxmlformats.org/officeDocument/2006/relationships/hyperlink" Target="https://docs.langchain.com/oss/python/langchain/tools" TargetMode="External"/><Relationship Id="rId13" Type="http://schemas.openxmlformats.org/officeDocument/2006/relationships/hyperlink" Target="https://arxiv.org/abs/1706.03762" TargetMode="External"/><Relationship Id="rId14" Type="http://schemas.openxmlformats.org/officeDocument/2006/relationships/hyperlink" Target="https://arxiv.org/abs/2106.096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Evidence for a Local Engineering AI Assistant</dc:title>
  <dc:subject>FYP supervisor meeting technical brief</dc:subject>
  <dc:creator>CAD-Agent-MPD Project</dc:creator>
  <cp:keywords>local LLM, tool calling, RAG, LoRA, shock mount, engineering AI</cp:keywords>
  <dc:description>generated by python-docx</dc:description>
  <cp:lastModifiedBy/>
  <cp:revision>1</cp:revision>
  <dcterms:created xsi:type="dcterms:W3CDTF">2013-12-23T23:15:00Z</dcterms:created>
  <dcterms:modified xsi:type="dcterms:W3CDTF">2013-12-23T23:15:00Z</dcterms:modified>
  <cp:category/>
</cp:coreProperties>
</file>