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after="300"/>
        <w:jc w:val="center"/>
      </w:pPr>
      <w:r>
        <w:rPr>
          <w:b/>
          <w:color w:val="2E74B5"/>
          <w:sz w:val="24"/>
        </w:rPr>
        <w:t>CAD-AWARE ENGINEERING ASSISTANT</w:t>
      </w:r>
    </w:p>
    <w:p>
      <w:pPr>
        <w:pStyle w:val="Title"/>
        <w:jc w:val="center"/>
      </w:pPr>
      <w:r>
        <w:t>Shock Selector</w:t>
      </w:r>
      <w:r>
        <w:br/>
        <w:t>Complete Functional Guide and</w:t>
      </w:r>
      <w:r>
        <w:br/>
        <w:t>Microsoft 365 Copilot Cost Comparison</w:t>
      </w:r>
    </w:p>
    <w:p>
      <w:pPr>
        <w:pStyle w:val="Subtitle"/>
        <w:jc w:val="center"/>
      </w:pPr>
      <w:r>
        <w:t>End-to-end explanation of the tab, engineering authority boundaries, context-aware assistance, evidence outputs and five-user operating cost</w:t>
      </w:r>
    </w:p>
    <w:p/>
    <w:tbl>
      <w:tblPr>
        <w:tblW w:type="auto" w:w="0"/>
        <w:tblLayout w:type="fixed"/>
        <w:tblLook w:firstColumn="1" w:firstRow="1" w:lastColumn="0" w:lastRow="0" w:noHBand="0" w:noVBand="1" w:val="04A0"/>
      </w:tblPr>
      <w:tblGrid>
        <w:gridCol w:w="4876"/>
        <w:gridCol w:w="4876"/>
      </w:tblGrid>
      <w:tr>
        <w:trPr>
          <w:tblHeader w:val="true"/>
        </w:trPr>
        <w:tc>
          <w:tcPr>
            <w:tcW w:type="dxa" w:w="4876"/>
            <w:shd w:fill="EAF2F8"/>
            <w:tcMar>
              <w:top w:w="120" w:type="dxa"/>
              <w:start w:w="150" w:type="dxa"/>
              <w:bottom w:w="120" w:type="dxa"/>
              <w:end w:w="150" w:type="dxa"/>
            </w:tcMar>
          </w:tcPr>
          <w:p>
            <w:r>
              <w:rPr>
                <w:b/>
                <w:color w:val="16324F"/>
              </w:rPr>
              <w:t>Prepared for</w:t>
            </w:r>
          </w:p>
        </w:tc>
        <w:tc>
          <w:tcPr>
            <w:tcW w:type="dxa" w:w="4876"/>
            <w:shd w:fill="F6F8FA"/>
            <w:tcMar>
              <w:top w:w="120" w:type="dxa"/>
              <w:start w:w="150" w:type="dxa"/>
              <w:bottom w:w="120" w:type="dxa"/>
              <w:end w:w="150" w:type="dxa"/>
            </w:tcMar>
          </w:tcPr>
          <w:p>
            <w:r>
              <w:t>Product demonstration and internal review</w:t>
            </w:r>
          </w:p>
        </w:tc>
      </w:tr>
      <w:tr>
        <w:tc>
          <w:tcPr>
            <w:tcW w:type="dxa" w:w="4876"/>
            <w:shd w:fill="EAF2F8"/>
            <w:tcMar>
              <w:top w:w="120" w:type="dxa"/>
              <w:start w:w="150" w:type="dxa"/>
              <w:bottom w:w="120" w:type="dxa"/>
              <w:end w:w="150" w:type="dxa"/>
            </w:tcMar>
          </w:tcPr>
          <w:p>
            <w:r>
              <w:rPr>
                <w:b/>
                <w:color w:val="16324F"/>
              </w:rPr>
              <w:t>Scope</w:t>
            </w:r>
          </w:p>
        </w:tc>
        <w:tc>
          <w:tcPr>
            <w:tcW w:type="dxa" w:w="4876"/>
            <w:shd w:fill="F6F8FA"/>
            <w:tcMar>
              <w:top w:w="120" w:type="dxa"/>
              <w:start w:w="150" w:type="dxa"/>
              <w:bottom w:w="120" w:type="dxa"/>
              <w:end w:w="150" w:type="dxa"/>
            </w:tcMar>
          </w:tcPr>
          <w:p>
            <w:r>
              <w:t>Shock isolator selection, verification and supplier handoff</w:t>
            </w:r>
          </w:p>
        </w:tc>
      </w:tr>
      <w:tr>
        <w:tc>
          <w:tcPr>
            <w:tcW w:type="dxa" w:w="4876"/>
            <w:shd w:fill="EAF2F8"/>
            <w:tcMar>
              <w:top w:w="120" w:type="dxa"/>
              <w:start w:w="150" w:type="dxa"/>
              <w:bottom w:w="120" w:type="dxa"/>
              <w:end w:w="150" w:type="dxa"/>
            </w:tcMar>
          </w:tcPr>
          <w:p>
            <w:r>
              <w:rPr>
                <w:b/>
                <w:color w:val="16324F"/>
              </w:rPr>
              <w:t>Current assistant</w:t>
            </w:r>
          </w:p>
        </w:tc>
        <w:tc>
          <w:tcPr>
            <w:tcW w:type="dxa" w:w="4876"/>
            <w:shd w:fill="F6F8FA"/>
            <w:tcMar>
              <w:top w:w="120" w:type="dxa"/>
              <w:start w:w="150" w:type="dxa"/>
              <w:bottom w:w="120" w:type="dxa"/>
              <w:end w:w="150" w:type="dxa"/>
            </w:tcMar>
          </w:tcPr>
          <w:p>
            <w:r>
              <w:t>OpenAI GPT-5.4 mini with deterministic tools</w:t>
            </w:r>
          </w:p>
        </w:tc>
      </w:tr>
      <w:tr>
        <w:tc>
          <w:tcPr>
            <w:tcW w:type="dxa" w:w="4876"/>
            <w:shd w:fill="EAF2F8"/>
            <w:tcMar>
              <w:top w:w="120" w:type="dxa"/>
              <w:start w:w="150" w:type="dxa"/>
              <w:bottom w:w="120" w:type="dxa"/>
              <w:end w:w="150" w:type="dxa"/>
            </w:tcMar>
          </w:tcPr>
          <w:p>
            <w:r>
              <w:rPr>
                <w:b/>
                <w:color w:val="16324F"/>
              </w:rPr>
              <w:t>Report date</w:t>
            </w:r>
          </w:p>
        </w:tc>
        <w:tc>
          <w:tcPr>
            <w:tcW w:type="dxa" w:w="4876"/>
            <w:shd w:fill="F6F8FA"/>
            <w:tcMar>
              <w:top w:w="120" w:type="dxa"/>
              <w:start w:w="150" w:type="dxa"/>
              <w:bottom w:w="120" w:type="dxa"/>
              <w:end w:w="150" w:type="dxa"/>
            </w:tcMar>
          </w:tcPr>
          <w:p>
            <w:r>
              <w:t>27 July 2026</w:t>
            </w:r>
          </w:p>
        </w:tc>
      </w:tr>
    </w:tbl>
    <w:p/>
    <w:tbl>
      <w:tblPr>
        <w:tblW w:type="auto" w:w="0"/>
        <w:tblLayout w:type="fixed"/>
        <w:tblLook w:firstColumn="1" w:firstRow="1" w:lastColumn="0" w:lastRow="0" w:noHBand="0" w:noVBand="1" w:val="04A0"/>
      </w:tblPr>
      <w:tblGrid>
        <w:gridCol w:w="142"/>
        <w:gridCol w:w="9354"/>
      </w:tblGrid>
      <w:tr>
        <w:trPr>
          <w:tblHeader w:val="true"/>
        </w:trPr>
        <w:tc>
          <w:tcPr>
            <w:tcW w:type="dxa" w:w="4876"/>
            <w:shd w:fill="2E7D32"/>
            <w:tcMar>
              <w:top w:w="0" w:type="dxa"/>
              <w:start w:w="0" w:type="dxa"/>
              <w:bottom w:w="0" w:type="dxa"/>
              <w:end w:w="0" w:type="dxa"/>
            </w:tcMar>
          </w:tcPr>
          <w:p/>
        </w:tc>
        <w:tc>
          <w:tcPr>
            <w:tcW w:type="dxa" w:w="4876"/>
            <w:shd w:fill="EAF5EA"/>
            <w:tcMar>
              <w:top w:w="120" w:type="dxa"/>
              <w:start w:w="150" w:type="dxa"/>
              <w:bottom w:w="120" w:type="dxa"/>
              <w:end w:w="150" w:type="dxa"/>
            </w:tcMar>
            <w:vAlign w:val="center"/>
          </w:tcPr>
          <w:p>
            <w:pPr>
              <w:spacing w:after="60"/>
            </w:pPr>
            <w:r>
              <w:rPr>
                <w:b/>
                <w:color w:val="2E7D32"/>
              </w:rPr>
              <w:t>Core position</w:t>
            </w:r>
          </w:p>
          <w:p>
            <w:pPr>
              <w:spacing w:after="0"/>
            </w:pPr>
            <w:r>
              <w:t>This is a specialist engineering application, not a general-purpose office copilot. Its advantage comes from combining structured inputs, validated Python calculations, catalog rules, current UI state and bounded local RAG before the language model explains the result.</w:t>
            </w:r>
          </w:p>
        </w:tc>
      </w:tr>
    </w:tbl>
    <w:p>
      <w:pPr>
        <w:spacing w:before="1100"/>
        <w:jc w:val="center"/>
      </w:pPr>
      <w:r>
        <w:rPr>
          <w:b/>
          <w:color w:val="B3261E"/>
          <w:sz w:val="20"/>
        </w:rPr>
        <w:t>Internal engineering decision support. Not a certification or supplier approval.</w:t>
      </w:r>
    </w:p>
    <w:p>
      <w:r>
        <w:br w:type="page"/>
      </w:r>
    </w:p>
    <w:p>
      <w:pPr>
        <w:pStyle w:val="Heading1"/>
        <w:keepNext/>
        <w:keepLines/>
      </w:pPr>
      <w:r>
        <w:t>Contents</w:t>
      </w:r>
    </w:p>
    <w:p>
      <w:r>
        <w:fldChar w:fldCharType="begin"/>
        <w:instrText xml:space="preserve">TOC \o "1-3" \h \z \u</w:instrText>
        <w:fldChar w:fldCharType="separate"/>
        <w:fldChar w:fldCharType="end"/>
      </w:r>
    </w:p>
    <w:p>
      <w:pPr>
        <w:pStyle w:val="BodyText"/>
      </w:pPr>
      <w:r>
        <w:rPr>
          <w:i/>
        </w:rPr>
        <w:t>In Microsoft Word, right-click the table of contents and choose Update Field if page numbers are not refreshed automatically.</w:t>
      </w:r>
    </w:p>
    <w:p>
      <w:r>
        <w:br w:type="page"/>
      </w:r>
    </w:p>
    <w:p>
      <w:pPr>
        <w:pStyle w:val="Heading1"/>
        <w:keepNext/>
        <w:keepLines/>
      </w:pPr>
      <w:r>
        <w:t>Executive Summary</w:t>
      </w:r>
    </w:p>
    <w:p>
      <w:pPr>
        <w:pStyle w:val="BodyText"/>
      </w:pPr>
      <w:r>
        <w:t>The Shock Selector tab turns a repetitive isolator-selection workflow into a controlled engineering sequence. The user enters the equipment and rack mass, mounting arrangement, shock pulse, available clearances and enclosure size. Deterministic Python then evaluates four load cases, checks transmitted shock, movement, catalog travel and static rating, and returns a recommended part or a clear failure state. The language model is used after this calculation to explain, compare, retrieve evidence and prepare communication; it is not the source of the numerical PASS/FAIL result.</w:t>
      </w:r>
    </w:p>
    <w:p>
      <w:pPr>
        <w:pStyle w:val="BodyText"/>
      </w:pPr>
      <w:r>
        <w:t>The tab contains three operating modes: automatic catalog selection, manual verification of a chosen part, and normalization of custom vendor data. It also includes stale-result protection, a deterministic mount layout, a road-vibration screening panel, a context-aware assistant, a supplier enquiry pack and an optional explanatory image generator.</w:t>
      </w:r>
    </w:p>
    <w:p>
      <w:pPr>
        <w:pStyle w:val="BodyText"/>
      </w:pPr>
      <w:r>
        <w:t>For five users, the public Microsoft 365 Copilot enterprise seat price is US$30 per user per month when paid yearly, so five seats are US$150 per month or US$1,800 per year. Microsoft also requires a separate qualifying Microsoft 365 plan. Under the expected usage scenario in this report, GPT-5.4 mini chat tokens cost approximately US$9.60 per month or US$115.20 per year. The nominal difference is therefore US$140.40 per month and US$1,684.80 per year. This is a marginal software-cost comparison, not total cost of ownership. Development, maintenance, hosting, security, image generation and support are excluded from the headline figure. [1][2]</w:t>
      </w:r>
    </w:p>
    <w:tbl>
      <w:tblPr>
        <w:tblW w:type="auto" w:w="0"/>
        <w:tblLayout w:type="fixed"/>
        <w:tblLook w:firstColumn="1" w:firstRow="1" w:lastColumn="0" w:lastRow="0" w:noHBand="0" w:noVBand="1" w:val="04A0"/>
      </w:tblPr>
      <w:tblGrid>
        <w:gridCol w:w="142"/>
        <w:gridCol w:w="9354"/>
      </w:tblGrid>
      <w:tr>
        <w:trPr>
          <w:tblHeader w:val="true"/>
        </w:trPr>
        <w:tc>
          <w:tcPr>
            <w:tcW w:type="dxa" w:w="4876"/>
            <w:shd w:fill="2E74B5"/>
            <w:tcMar>
              <w:top w:w="0" w:type="dxa"/>
              <w:start w:w="0" w:type="dxa"/>
              <w:bottom w:w="0" w:type="dxa"/>
              <w:end w:w="0" w:type="dxa"/>
            </w:tcMar>
          </w:tcPr>
          <w:p/>
        </w:tc>
        <w:tc>
          <w:tcPr>
            <w:tcW w:type="dxa" w:w="4876"/>
            <w:shd w:fill="EAF2F8"/>
            <w:tcMar>
              <w:top w:w="120" w:type="dxa"/>
              <w:start w:w="150" w:type="dxa"/>
              <w:bottom w:w="120" w:type="dxa"/>
              <w:end w:w="150" w:type="dxa"/>
            </w:tcMar>
            <w:vAlign w:val="center"/>
          </w:tcPr>
          <w:p>
            <w:pPr>
              <w:spacing w:after="60"/>
            </w:pPr>
            <w:r>
              <w:rPr>
                <w:b/>
                <w:color w:val="2E74B5"/>
              </w:rPr>
              <w:t>Decision statement</w:t>
            </w:r>
          </w:p>
          <w:p>
            <w:pPr>
              <w:spacing w:after="0"/>
            </w:pPr>
            <w:r>
              <w:t>Use this application as the specialist shock-isolation workflow. Retain Microsoft 365 Copilot only when the organization also needs its broad Word, Excel, PowerPoint, Outlook and Teams capabilities. The two products solve different problems.</w:t>
            </w:r>
          </w:p>
        </w:tc>
      </w:tr>
    </w:tbl>
    <w:p>
      <w:pPr>
        <w:pStyle w:val="Heading2"/>
        <w:keepNext/>
        <w:keepLines/>
      </w:pPr>
      <w:r>
        <w:t>Key Findings</w:t>
      </w:r>
    </w:p>
    <w:p>
      <w:pPr>
        <w:pStyle w:val="ListBullet"/>
      </w:pPr>
      <w:r>
        <w:t>The engineering result is produced by validated equations and catalog rules, not by free-form LLM arithmetic.</w:t>
      </w:r>
    </w:p>
    <w:p>
      <w:pPr>
        <w:pStyle w:val="ListBullet"/>
      </w:pPr>
      <w:r>
        <w:t>The assistant receives the current analysis snapshot automatically, so the user does not need to restate the part, load cases or assumptions.</w:t>
      </w:r>
    </w:p>
    <w:p>
      <w:pPr>
        <w:pStyle w:val="ListBullet"/>
      </w:pPr>
      <w:r>
        <w:t>Local BGE-M3 retrieval restricts reference answers to the shock-mount corpus and returns stable source identifiers.</w:t>
      </w:r>
    </w:p>
    <w:p>
      <w:pPr>
        <w:pStyle w:val="ListBullet"/>
      </w:pPr>
      <w:r>
        <w:t>The internal transformer attention layers are not modified. Guidance is applied at the application layer through prompts, tool schemas, structured inputs, controlled retrieval and short history.</w:t>
      </w:r>
    </w:p>
    <w:p>
      <w:pPr>
        <w:pStyle w:val="ListBullet"/>
      </w:pPr>
      <w:r>
        <w:t>A frozen 170-case study showed that adding deterministic tools increased majority verdict accuracy from 38.6% to 82.1% with the selected local model; adding RAG increased it to 84.3% and reduced false-safe rate from 13.8% to 3.4%. [3]</w:t>
      </w:r>
    </w:p>
    <w:p>
      <w:pPr>
        <w:pStyle w:val="ListBullet"/>
      </w:pPr>
      <w:r>
        <w:t>Those evaluation results validate the architecture with Qwen3.5 9B. They are not a direct benchmark of Microsoft Copilot or the current GPT-5.4 mini production model.</w:t>
      </w:r>
    </w:p>
    <w:p>
      <w:r>
        <w:br w:type="page"/>
      </w:r>
    </w:p>
    <w:p>
      <w:pPr>
        <w:pStyle w:val="Heading1"/>
        <w:keepNext/>
        <w:keepLines/>
      </w:pPr>
      <w:r>
        <w:t>1. Purpose and Scope</w:t>
      </w:r>
    </w:p>
    <w:p>
      <w:pPr>
        <w:pStyle w:val="BodyText"/>
      </w:pPr>
      <w:r>
        <w:t>This guide explains the Shock Selector tab from initial data entry to supplier handoff. It covers the manual-mass workflow in the Isolator Selector tab. The separate CAD + Shock tab can obtain mass, centre of gravity and bounding-box data from SolidWorks, but that CAD extraction path is outside the main operating sequence described here.</w:t>
      </w:r>
    </w:p>
    <w:p>
      <w:pPr>
        <w:pStyle w:val="Heading2"/>
        <w:keepNext/>
        <w:keepLines/>
      </w:pPr>
      <w:r>
        <w:t>1.1 Intended users</w:t>
      </w:r>
    </w:p>
    <w:p>
      <w:pPr>
        <w:pStyle w:val="ListBullet"/>
      </w:pPr>
      <w:r>
        <w:t>Mechanical engineers preparing an initial shock-isolator selection.</w:t>
      </w:r>
    </w:p>
    <w:p>
      <w:pPr>
        <w:pStyle w:val="ListBullet"/>
      </w:pPr>
      <w:r>
        <w:t>Design engineers checking whether a specified vendor part is suitable.</w:t>
      </w:r>
    </w:p>
    <w:p>
      <w:pPr>
        <w:pStyle w:val="ListBullet"/>
      </w:pPr>
      <w:r>
        <w:t>Project engineers preparing a structured enquiry for an isolator supplier.</w:t>
      </w:r>
    </w:p>
    <w:p>
      <w:pPr>
        <w:pStyle w:val="ListBullet"/>
      </w:pPr>
      <w:r>
        <w:t>Reviewers who need an auditable calculation trail, assumptions and evidence boundaries.</w:t>
      </w:r>
    </w:p>
    <w:p>
      <w:pPr>
        <w:pStyle w:val="Heading2"/>
        <w:keepNext/>
        <w:keepLines/>
      </w:pPr>
      <w:r>
        <w:t>1.2 What the tab does</w:t>
      </w:r>
    </w:p>
    <w:tbl>
      <w:tblPr>
        <w:tblStyle w:val="TableGrid"/>
        <w:tblW w:type="auto" w:w="0"/>
        <w:tblLayout w:type="fixed"/>
        <w:tblLook w:firstColumn="1" w:firstRow="1" w:lastColumn="0" w:lastRow="0" w:noHBand="0" w:noVBand="1" w:val="04A0"/>
      </w:tblPr>
      <w:tblGrid>
        <w:gridCol w:w="3251"/>
        <w:gridCol w:w="3251"/>
        <w:gridCol w:w="3251"/>
      </w:tblGrid>
      <w:tr>
        <w:trPr>
          <w:trHeight w:hRule="atLeast"/>
          <w:tblHeader w:val="true"/>
        </w:trPr>
        <w:tc>
          <w:tcPr>
            <w:tcW w:type="dxa" w:w="1474"/>
            <w:shd w:fill="16324F"/>
            <w:tcMar>
              <w:top w:w="90" w:type="dxa"/>
              <w:start w:w="110" w:type="dxa"/>
              <w:bottom w:w="90" w:type="dxa"/>
              <w:end w:w="110" w:type="dxa"/>
            </w:tcMar>
            <w:vAlign w:val="center"/>
          </w:tcPr>
          <w:p>
            <w:pPr>
              <w:spacing w:after="0"/>
            </w:pPr>
            <w:r>
              <w:rPr>
                <w:b/>
                <w:color w:val="FFFFFF"/>
                <w:sz w:val="17"/>
              </w:rPr>
              <w:t>Layer</w:t>
            </w:r>
          </w:p>
        </w:tc>
        <w:tc>
          <w:tcPr>
            <w:tcW w:type="dxa" w:w="5102"/>
            <w:shd w:fill="16324F"/>
            <w:tcMar>
              <w:top w:w="90" w:type="dxa"/>
              <w:start w:w="110" w:type="dxa"/>
              <w:bottom w:w="90" w:type="dxa"/>
              <w:end w:w="110" w:type="dxa"/>
            </w:tcMar>
            <w:vAlign w:val="center"/>
          </w:tcPr>
          <w:p>
            <w:pPr>
              <w:spacing w:after="0"/>
            </w:pPr>
            <w:r>
              <w:rPr>
                <w:b/>
                <w:color w:val="FFFFFF"/>
                <w:sz w:val="17"/>
              </w:rPr>
              <w:t>Responsibility</w:t>
            </w:r>
          </w:p>
        </w:tc>
        <w:tc>
          <w:tcPr>
            <w:tcW w:type="dxa" w:w="2891"/>
            <w:shd w:fill="16324F"/>
            <w:tcMar>
              <w:top w:w="90" w:type="dxa"/>
              <w:start w:w="110" w:type="dxa"/>
              <w:bottom w:w="90" w:type="dxa"/>
              <w:end w:w="110" w:type="dxa"/>
            </w:tcMar>
            <w:vAlign w:val="center"/>
          </w:tcPr>
          <w:p>
            <w:pPr>
              <w:spacing w:after="0"/>
            </w:pPr>
            <w:r>
              <w:rPr>
                <w:b/>
                <w:color w:val="FFFFFF"/>
                <w:sz w:val="17"/>
              </w:rPr>
              <w:t>Authority</w:t>
            </w:r>
          </w:p>
        </w:tc>
      </w:tr>
      <w:tr>
        <w:trPr>
          <w:trHeight w:hRule="atLeast"/>
        </w:trPr>
        <w:tc>
          <w:tcPr>
            <w:tcW w:type="dxa" w:w="1474"/>
            <w:tcMar>
              <w:top w:w="90" w:type="dxa"/>
              <w:start w:w="110" w:type="dxa"/>
              <w:bottom w:w="90" w:type="dxa"/>
              <w:end w:w="110" w:type="dxa"/>
            </w:tcMar>
            <w:vAlign w:val="center"/>
          </w:tcPr>
          <w:p>
            <w:pPr>
              <w:spacing w:after="0"/>
            </w:pPr>
            <w:r>
              <w:rPr>
                <w:sz w:val="17"/>
              </w:rPr>
              <w:t>Input layer</w:t>
            </w:r>
          </w:p>
        </w:tc>
        <w:tc>
          <w:tcPr>
            <w:tcW w:type="dxa" w:w="5102"/>
            <w:tcMar>
              <w:top w:w="90" w:type="dxa"/>
              <w:start w:w="110" w:type="dxa"/>
              <w:bottom w:w="90" w:type="dxa"/>
              <w:end w:w="110" w:type="dxa"/>
            </w:tcMar>
            <w:vAlign w:val="center"/>
          </w:tcPr>
          <w:p>
            <w:pPr>
              <w:spacing w:after="0"/>
            </w:pPr>
            <w:r>
              <w:rPr>
                <w:sz w:val="17"/>
              </w:rPr>
              <w:t>Captures mass, mount count, shock pulse, clearance, enclosure and vendor data.</w:t>
            </w:r>
          </w:p>
        </w:tc>
        <w:tc>
          <w:tcPr>
            <w:tcW w:type="dxa" w:w="2891"/>
            <w:tcMar>
              <w:top w:w="90" w:type="dxa"/>
              <w:start w:w="110" w:type="dxa"/>
              <w:bottom w:w="90" w:type="dxa"/>
              <w:end w:w="110" w:type="dxa"/>
            </w:tcMar>
            <w:vAlign w:val="center"/>
          </w:tcPr>
          <w:p>
            <w:pPr>
              <w:spacing w:after="0"/>
            </w:pPr>
            <w:r>
              <w:rPr>
                <w:sz w:val="17"/>
              </w:rPr>
              <w:t>User-supplied requirement</w:t>
            </w:r>
          </w:p>
        </w:tc>
      </w:tr>
      <w:tr>
        <w:trPr>
          <w:trHeight w:hRule="atLeast"/>
        </w:trPr>
        <w:tc>
          <w:tcPr>
            <w:tcW w:type="dxa" w:w="1474"/>
            <w:shd w:fill="F6F8FA"/>
            <w:tcMar>
              <w:top w:w="90" w:type="dxa"/>
              <w:start w:w="110" w:type="dxa"/>
              <w:bottom w:w="90" w:type="dxa"/>
              <w:end w:w="110" w:type="dxa"/>
            </w:tcMar>
            <w:vAlign w:val="center"/>
          </w:tcPr>
          <w:p>
            <w:pPr>
              <w:spacing w:after="0"/>
            </w:pPr>
            <w:r>
              <w:rPr>
                <w:sz w:val="17"/>
              </w:rPr>
              <w:t>Physics layer</w:t>
            </w:r>
          </w:p>
        </w:tc>
        <w:tc>
          <w:tcPr>
            <w:tcW w:type="dxa" w:w="5102"/>
            <w:shd w:fill="F6F8FA"/>
            <w:tcMar>
              <w:top w:w="90" w:type="dxa"/>
              <w:start w:w="110" w:type="dxa"/>
              <w:bottom w:w="90" w:type="dxa"/>
              <w:end w:w="110" w:type="dxa"/>
            </w:tcMar>
            <w:vAlign w:val="center"/>
          </w:tcPr>
          <w:p>
            <w:pPr>
              <w:spacing w:after="0"/>
            </w:pPr>
            <w:r>
              <w:rPr>
                <w:sz w:val="17"/>
              </w:rPr>
              <w:t>Runs the four-case shock model, unit conversion, static gate and catalog screening.</w:t>
            </w:r>
          </w:p>
        </w:tc>
        <w:tc>
          <w:tcPr>
            <w:tcW w:type="dxa" w:w="2891"/>
            <w:shd w:fill="F6F8FA"/>
            <w:tcMar>
              <w:top w:w="90" w:type="dxa"/>
              <w:start w:w="110" w:type="dxa"/>
              <w:bottom w:w="90" w:type="dxa"/>
              <w:end w:w="110" w:type="dxa"/>
            </w:tcMar>
            <w:vAlign w:val="center"/>
          </w:tcPr>
          <w:p>
            <w:pPr>
              <w:spacing w:after="0"/>
            </w:pPr>
            <w:r>
              <w:rPr>
                <w:sz w:val="17"/>
              </w:rPr>
              <w:t>Authoritative for the software calculation</w:t>
            </w:r>
          </w:p>
        </w:tc>
      </w:tr>
      <w:tr>
        <w:trPr>
          <w:trHeight w:hRule="atLeast"/>
        </w:trPr>
        <w:tc>
          <w:tcPr>
            <w:tcW w:type="dxa" w:w="1474"/>
            <w:tcMar>
              <w:top w:w="90" w:type="dxa"/>
              <w:start w:w="110" w:type="dxa"/>
              <w:bottom w:w="90" w:type="dxa"/>
              <w:end w:w="110" w:type="dxa"/>
            </w:tcMar>
            <w:vAlign w:val="center"/>
          </w:tcPr>
          <w:p>
            <w:pPr>
              <w:spacing w:after="0"/>
            </w:pPr>
            <w:r>
              <w:rPr>
                <w:sz w:val="17"/>
              </w:rPr>
              <w:t>Assistant layer</w:t>
            </w:r>
          </w:p>
        </w:tc>
        <w:tc>
          <w:tcPr>
            <w:tcW w:type="dxa" w:w="5102"/>
            <w:tcMar>
              <w:top w:w="90" w:type="dxa"/>
              <w:start w:w="110" w:type="dxa"/>
              <w:bottom w:w="90" w:type="dxa"/>
              <w:end w:w="110" w:type="dxa"/>
            </w:tcMar>
            <w:vAlign w:val="center"/>
          </w:tcPr>
          <w:p>
            <w:pPr>
              <w:spacing w:after="0"/>
            </w:pPr>
            <w:r>
              <w:rPr>
                <w:sz w:val="17"/>
              </w:rPr>
              <w:t>Routes approved tools, explains the result and asks for missing information.</w:t>
            </w:r>
          </w:p>
        </w:tc>
        <w:tc>
          <w:tcPr>
            <w:tcW w:type="dxa" w:w="2891"/>
            <w:tcMar>
              <w:top w:w="90" w:type="dxa"/>
              <w:start w:w="110" w:type="dxa"/>
              <w:bottom w:w="90" w:type="dxa"/>
              <w:end w:w="110" w:type="dxa"/>
            </w:tcMar>
            <w:vAlign w:val="center"/>
          </w:tcPr>
          <w:p>
            <w:pPr>
              <w:spacing w:after="0"/>
            </w:pPr>
            <w:r>
              <w:rPr>
                <w:sz w:val="17"/>
              </w:rPr>
              <w:t>Advisory language output</w:t>
            </w:r>
          </w:p>
        </w:tc>
      </w:tr>
      <w:tr>
        <w:trPr>
          <w:trHeight w:hRule="atLeast"/>
        </w:trPr>
        <w:tc>
          <w:tcPr>
            <w:tcW w:type="dxa" w:w="1474"/>
            <w:shd w:fill="F6F8FA"/>
            <w:tcMar>
              <w:top w:w="90" w:type="dxa"/>
              <w:start w:w="110" w:type="dxa"/>
              <w:bottom w:w="90" w:type="dxa"/>
              <w:end w:w="110" w:type="dxa"/>
            </w:tcMar>
            <w:vAlign w:val="center"/>
          </w:tcPr>
          <w:p>
            <w:pPr>
              <w:spacing w:after="0"/>
            </w:pPr>
            <w:r>
              <w:rPr>
                <w:sz w:val="17"/>
              </w:rPr>
              <w:t>RAG layer</w:t>
            </w:r>
          </w:p>
        </w:tc>
        <w:tc>
          <w:tcPr>
            <w:tcW w:type="dxa" w:w="5102"/>
            <w:shd w:fill="F6F8FA"/>
            <w:tcMar>
              <w:top w:w="90" w:type="dxa"/>
              <w:start w:w="110" w:type="dxa"/>
              <w:bottom w:w="90" w:type="dxa"/>
              <w:end w:w="110" w:type="dxa"/>
            </w:tcMar>
            <w:vAlign w:val="center"/>
          </w:tcPr>
          <w:p>
            <w:pPr>
              <w:spacing w:after="0"/>
            </w:pPr>
            <w:r>
              <w:rPr>
                <w:sz w:val="17"/>
              </w:rPr>
              <w:t>Retrieves selected standards, workflow and vendor evidence.</w:t>
            </w:r>
          </w:p>
        </w:tc>
        <w:tc>
          <w:tcPr>
            <w:tcW w:type="dxa" w:w="2891"/>
            <w:shd w:fill="F6F8FA"/>
            <w:tcMar>
              <w:top w:w="90" w:type="dxa"/>
              <w:start w:w="110" w:type="dxa"/>
              <w:bottom w:w="90" w:type="dxa"/>
              <w:end w:w="110" w:type="dxa"/>
            </w:tcMar>
            <w:vAlign w:val="center"/>
          </w:tcPr>
          <w:p>
            <w:pPr>
              <w:spacing w:after="0"/>
            </w:pPr>
            <w:r>
              <w:rPr>
                <w:sz w:val="17"/>
              </w:rPr>
              <w:t>Reference support with citations</w:t>
            </w:r>
          </w:p>
        </w:tc>
      </w:tr>
      <w:tr>
        <w:trPr>
          <w:trHeight w:hRule="atLeast"/>
        </w:trPr>
        <w:tc>
          <w:tcPr>
            <w:tcW w:type="dxa" w:w="1474"/>
            <w:tcMar>
              <w:top w:w="90" w:type="dxa"/>
              <w:start w:w="110" w:type="dxa"/>
              <w:bottom w:w="90" w:type="dxa"/>
              <w:end w:w="110" w:type="dxa"/>
            </w:tcMar>
            <w:vAlign w:val="center"/>
          </w:tcPr>
          <w:p>
            <w:pPr>
              <w:spacing w:after="0"/>
            </w:pPr>
            <w:r>
              <w:rPr>
                <w:sz w:val="17"/>
              </w:rPr>
              <w:t>Output layer</w:t>
            </w:r>
          </w:p>
        </w:tc>
        <w:tc>
          <w:tcPr>
            <w:tcW w:type="dxa" w:w="5102"/>
            <w:tcMar>
              <w:top w:w="90" w:type="dxa"/>
              <w:start w:w="110" w:type="dxa"/>
              <w:bottom w:w="90" w:type="dxa"/>
              <w:end w:w="110" w:type="dxa"/>
            </w:tcMar>
            <w:vAlign w:val="center"/>
          </w:tcPr>
          <w:p>
            <w:pPr>
              <w:spacing w:after="0"/>
            </w:pPr>
            <w:r>
              <w:rPr>
                <w:sz w:val="17"/>
              </w:rPr>
              <w:t>Shows results, layout, supplier pack and optional explanatory visual.</w:t>
            </w:r>
          </w:p>
        </w:tc>
        <w:tc>
          <w:tcPr>
            <w:tcW w:type="dxa" w:w="2891"/>
            <w:tcMar>
              <w:top w:w="90" w:type="dxa"/>
              <w:start w:w="110" w:type="dxa"/>
              <w:bottom w:w="90" w:type="dxa"/>
              <w:end w:w="110" w:type="dxa"/>
            </w:tcMar>
            <w:vAlign w:val="center"/>
          </w:tcPr>
          <w:p>
            <w:pPr>
              <w:spacing w:after="0"/>
            </w:pPr>
            <w:r>
              <w:rPr>
                <w:sz w:val="17"/>
              </w:rPr>
              <w:t>Communication and review</w:t>
            </w:r>
          </w:p>
        </w:tc>
      </w:tr>
    </w:tbl>
    <w:p>
      <w:pPr>
        <w:pStyle w:val="Heading2"/>
        <w:keepNext/>
        <w:keepLines/>
      </w:pPr>
      <w:r>
        <w:t>1.3 What the tab does not prove</w:t>
      </w:r>
    </w:p>
    <w:p>
      <w:pPr>
        <w:pStyle w:val="BodyText"/>
      </w:pPr>
      <w:r>
        <w:t>A software PASS means the entered configuration passed the implemented deterministic gates. It does not prove nonlinear isolator behaviour, random-vibration endurance, fastener retention, bracket strength, equipment fragility, fatigue life, environmental resistance or road-trial performance. These remain supplier, laboratory or field-validation items.</w:t>
      </w:r>
    </w:p>
    <w:p>
      <w:pPr>
        <w:spacing w:after="0"/>
        <w:jc w:val="center"/>
      </w:pPr>
      <w:r>
        <w:drawing>
          <wp:inline xmlns:a="http://schemas.openxmlformats.org/drawingml/2006/main" xmlns:pic="http://schemas.openxmlformats.org/drawingml/2006/picture">
            <wp:extent cx="6120000" cy="3332000"/>
            <wp:docPr id="1" name="Picture 1" descr="Figure 1. Controlled architecture and engineering-authority boundary." title="Figure 1. Controlled architecture and engineering-authority boundary."/>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0000" cy="3332000"/>
                    </a:xfrm>
                    <a:prstGeom prst="rect"/>
                  </pic:spPr>
                </pic:pic>
              </a:graphicData>
            </a:graphic>
          </wp:inline>
        </w:drawing>
      </w:r>
    </w:p>
    <w:p>
      <w:pPr>
        <w:spacing w:before="60" w:after="160"/>
        <w:jc w:val="center"/>
      </w:pPr>
      <w:r>
        <w:rPr>
          <w:i/>
          <w:color w:val="52616B"/>
          <w:sz w:val="17"/>
        </w:rPr>
        <w:t>Figure 1. Controlled architecture and engineering-authority boundary.</w:t>
      </w:r>
    </w:p>
    <w:p>
      <w:pPr>
        <w:pStyle w:val="Heading2"/>
        <w:keepNext/>
        <w:keepLines/>
      </w:pPr>
      <w:r>
        <w:t>1.4 Current runtime configuration</w:t>
      </w:r>
    </w:p>
    <w:tbl>
      <w:tblPr>
        <w:tblStyle w:val="TableGrid"/>
        <w:tblW w:type="auto" w:w="0"/>
        <w:tblLayout w:type="fixed"/>
        <w:tblLook w:firstColumn="1" w:firstRow="1" w:lastColumn="0" w:lastRow="0" w:noHBand="0" w:noVBand="1" w:val="04A0"/>
      </w:tblPr>
      <w:tblGrid>
        <w:gridCol w:w="3251"/>
        <w:gridCol w:w="3251"/>
        <w:gridCol w:w="3251"/>
      </w:tblGrid>
      <w:tr>
        <w:trPr>
          <w:trHeight w:hRule="atLeast"/>
          <w:tblHeader w:val="true"/>
        </w:trPr>
        <w:tc>
          <w:tcPr>
            <w:tcW w:type="dxa" w:w="1701"/>
            <w:shd w:fill="16324F"/>
            <w:tcMar>
              <w:top w:w="90" w:type="dxa"/>
              <w:start w:w="110" w:type="dxa"/>
              <w:bottom w:w="90" w:type="dxa"/>
              <w:end w:w="110" w:type="dxa"/>
            </w:tcMar>
            <w:vAlign w:val="center"/>
          </w:tcPr>
          <w:p>
            <w:pPr>
              <w:spacing w:after="0"/>
            </w:pPr>
            <w:r>
              <w:rPr>
                <w:b/>
                <w:color w:val="FFFFFF"/>
                <w:sz w:val="17"/>
              </w:rPr>
              <w:t>Component</w:t>
            </w:r>
          </w:p>
        </w:tc>
        <w:tc>
          <w:tcPr>
            <w:tcW w:type="dxa" w:w="3969"/>
            <w:shd w:fill="16324F"/>
            <w:tcMar>
              <w:top w:w="90" w:type="dxa"/>
              <w:start w:w="110" w:type="dxa"/>
              <w:bottom w:w="90" w:type="dxa"/>
              <w:end w:w="110" w:type="dxa"/>
            </w:tcMar>
            <w:vAlign w:val="center"/>
          </w:tcPr>
          <w:p>
            <w:pPr>
              <w:spacing w:after="0"/>
            </w:pPr>
            <w:r>
              <w:rPr>
                <w:b/>
                <w:color w:val="FFFFFF"/>
                <w:sz w:val="17"/>
              </w:rPr>
              <w:t>Current role</w:t>
            </w:r>
          </w:p>
        </w:tc>
        <w:tc>
          <w:tcPr>
            <w:tcW w:type="dxa" w:w="3798"/>
            <w:shd w:fill="16324F"/>
            <w:tcMar>
              <w:top w:w="90" w:type="dxa"/>
              <w:start w:w="110" w:type="dxa"/>
              <w:bottom w:w="90" w:type="dxa"/>
              <w:end w:w="110" w:type="dxa"/>
            </w:tcMar>
            <w:vAlign w:val="center"/>
          </w:tcPr>
          <w:p>
            <w:pPr>
              <w:spacing w:after="0"/>
            </w:pPr>
            <w:r>
              <w:rPr>
                <w:b/>
                <w:color w:val="FFFFFF"/>
                <w:sz w:val="17"/>
              </w:rPr>
              <w:t>Current implementation</w:t>
            </w:r>
          </w:p>
        </w:tc>
      </w:tr>
      <w:tr>
        <w:trPr>
          <w:trHeight w:hRule="atLeast"/>
        </w:trPr>
        <w:tc>
          <w:tcPr>
            <w:tcW w:type="dxa" w:w="1701"/>
            <w:tcMar>
              <w:top w:w="90" w:type="dxa"/>
              <w:start w:w="110" w:type="dxa"/>
              <w:bottom w:w="90" w:type="dxa"/>
              <w:end w:w="110" w:type="dxa"/>
            </w:tcMar>
            <w:vAlign w:val="center"/>
          </w:tcPr>
          <w:p>
            <w:pPr>
              <w:spacing w:after="0"/>
            </w:pPr>
            <w:r>
              <w:rPr>
                <w:sz w:val="17"/>
              </w:rPr>
              <w:t>Chat model</w:t>
            </w:r>
          </w:p>
        </w:tc>
        <w:tc>
          <w:tcPr>
            <w:tcW w:type="dxa" w:w="3969"/>
            <w:tcMar>
              <w:top w:w="90" w:type="dxa"/>
              <w:start w:w="110" w:type="dxa"/>
              <w:bottom w:w="90" w:type="dxa"/>
              <w:end w:w="110" w:type="dxa"/>
            </w:tcMar>
            <w:vAlign w:val="center"/>
          </w:tcPr>
          <w:p>
            <w:pPr>
              <w:spacing w:after="0"/>
            </w:pPr>
            <w:r>
              <w:rPr>
                <w:sz w:val="17"/>
              </w:rPr>
              <w:t>Natural-language interpretation, tool routing and explanation</w:t>
            </w:r>
          </w:p>
        </w:tc>
        <w:tc>
          <w:tcPr>
            <w:tcW w:type="dxa" w:w="3798"/>
            <w:tcMar>
              <w:top w:w="90" w:type="dxa"/>
              <w:start w:w="110" w:type="dxa"/>
              <w:bottom w:w="90" w:type="dxa"/>
              <w:end w:w="110" w:type="dxa"/>
            </w:tcMar>
            <w:vAlign w:val="center"/>
          </w:tcPr>
          <w:p>
            <w:pPr>
              <w:spacing w:after="0"/>
            </w:pPr>
            <w:r>
              <w:rPr>
                <w:sz w:val="17"/>
              </w:rPr>
              <w:t>OpenAI GPT-5.4 mini</w:t>
            </w:r>
          </w:p>
        </w:tc>
      </w:tr>
      <w:tr>
        <w:trPr>
          <w:trHeight w:hRule="atLeast"/>
        </w:trPr>
        <w:tc>
          <w:tcPr>
            <w:tcW w:type="dxa" w:w="1701"/>
            <w:shd w:fill="F6F8FA"/>
            <w:tcMar>
              <w:top w:w="90" w:type="dxa"/>
              <w:start w:w="110" w:type="dxa"/>
              <w:bottom w:w="90" w:type="dxa"/>
              <w:end w:w="110" w:type="dxa"/>
            </w:tcMar>
            <w:vAlign w:val="center"/>
          </w:tcPr>
          <w:p>
            <w:pPr>
              <w:spacing w:after="0"/>
            </w:pPr>
            <w:r>
              <w:rPr>
                <w:sz w:val="17"/>
              </w:rPr>
              <w:t>Engineering tools</w:t>
            </w:r>
          </w:p>
        </w:tc>
        <w:tc>
          <w:tcPr>
            <w:tcW w:type="dxa" w:w="3969"/>
            <w:shd w:fill="F6F8FA"/>
            <w:tcMar>
              <w:top w:w="90" w:type="dxa"/>
              <w:start w:w="110" w:type="dxa"/>
              <w:bottom w:w="90" w:type="dxa"/>
              <w:end w:w="110" w:type="dxa"/>
            </w:tcMar>
            <w:vAlign w:val="center"/>
          </w:tcPr>
          <w:p>
            <w:pPr>
              <w:spacing w:after="0"/>
            </w:pPr>
            <w:r>
              <w:rPr>
                <w:sz w:val="17"/>
              </w:rPr>
              <w:t>Shock physics, catalog lookup, custom data normalization</w:t>
            </w:r>
          </w:p>
        </w:tc>
        <w:tc>
          <w:tcPr>
            <w:tcW w:type="dxa" w:w="3798"/>
            <w:shd w:fill="F6F8FA"/>
            <w:tcMar>
              <w:top w:w="90" w:type="dxa"/>
              <w:start w:w="110" w:type="dxa"/>
              <w:bottom w:w="90" w:type="dxa"/>
              <w:end w:w="110" w:type="dxa"/>
            </w:tcMar>
            <w:vAlign w:val="center"/>
          </w:tcPr>
          <w:p>
            <w:pPr>
              <w:spacing w:after="0"/>
            </w:pPr>
            <w:r>
              <w:rPr>
                <w:sz w:val="17"/>
              </w:rPr>
              <w:t>Local deterministic Python</w:t>
            </w:r>
          </w:p>
        </w:tc>
      </w:tr>
      <w:tr>
        <w:trPr>
          <w:trHeight w:hRule="atLeast"/>
        </w:trPr>
        <w:tc>
          <w:tcPr>
            <w:tcW w:type="dxa" w:w="1701"/>
            <w:tcMar>
              <w:top w:w="90" w:type="dxa"/>
              <w:start w:w="110" w:type="dxa"/>
              <w:bottom w:w="90" w:type="dxa"/>
              <w:end w:w="110" w:type="dxa"/>
            </w:tcMar>
            <w:vAlign w:val="center"/>
          </w:tcPr>
          <w:p>
            <w:pPr>
              <w:spacing w:after="0"/>
            </w:pPr>
            <w:r>
              <w:rPr>
                <w:sz w:val="17"/>
              </w:rPr>
              <w:t>RAG embedder</w:t>
            </w:r>
          </w:p>
        </w:tc>
        <w:tc>
          <w:tcPr>
            <w:tcW w:type="dxa" w:w="3969"/>
            <w:tcMar>
              <w:top w:w="90" w:type="dxa"/>
              <w:start w:w="110" w:type="dxa"/>
              <w:bottom w:w="90" w:type="dxa"/>
              <w:end w:w="110" w:type="dxa"/>
            </w:tcMar>
            <w:vAlign w:val="center"/>
          </w:tcPr>
          <w:p>
            <w:pPr>
              <w:spacing w:after="0"/>
            </w:pPr>
            <w:r>
              <w:rPr>
                <w:sz w:val="17"/>
              </w:rPr>
              <w:t>Query and document vectors for shock references</w:t>
            </w:r>
          </w:p>
        </w:tc>
        <w:tc>
          <w:tcPr>
            <w:tcW w:type="dxa" w:w="3798"/>
            <w:tcMar>
              <w:top w:w="90" w:type="dxa"/>
              <w:start w:w="110" w:type="dxa"/>
              <w:bottom w:w="90" w:type="dxa"/>
              <w:end w:w="110" w:type="dxa"/>
            </w:tcMar>
            <w:vAlign w:val="center"/>
          </w:tcPr>
          <w:p>
            <w:pPr>
              <w:spacing w:after="0"/>
            </w:pPr>
            <w:r>
              <w:rPr>
                <w:sz w:val="17"/>
              </w:rPr>
              <w:t>Local Ollama BGE-M3</w:t>
            </w:r>
          </w:p>
        </w:tc>
      </w:tr>
      <w:tr>
        <w:trPr>
          <w:trHeight w:hRule="atLeast"/>
        </w:trPr>
        <w:tc>
          <w:tcPr>
            <w:tcW w:type="dxa" w:w="1701"/>
            <w:shd w:fill="F6F8FA"/>
            <w:tcMar>
              <w:top w:w="90" w:type="dxa"/>
              <w:start w:w="110" w:type="dxa"/>
              <w:bottom w:w="90" w:type="dxa"/>
              <w:end w:w="110" w:type="dxa"/>
            </w:tcMar>
            <w:vAlign w:val="center"/>
          </w:tcPr>
          <w:p>
            <w:pPr>
              <w:spacing w:after="0"/>
            </w:pPr>
            <w:r>
              <w:rPr>
                <w:sz w:val="17"/>
              </w:rPr>
              <w:t>Vector search</w:t>
            </w:r>
          </w:p>
        </w:tc>
        <w:tc>
          <w:tcPr>
            <w:tcW w:type="dxa" w:w="3969"/>
            <w:shd w:fill="F6F8FA"/>
            <w:tcMar>
              <w:top w:w="90" w:type="dxa"/>
              <w:start w:w="110" w:type="dxa"/>
              <w:bottom w:w="90" w:type="dxa"/>
              <w:end w:w="110" w:type="dxa"/>
            </w:tcMar>
            <w:vAlign w:val="center"/>
          </w:tcPr>
          <w:p>
            <w:pPr>
              <w:spacing w:after="0"/>
            </w:pPr>
            <w:r>
              <w:rPr>
                <w:sz w:val="17"/>
              </w:rPr>
              <w:t>Top-k retrieval over stored shock-mount chunks</w:t>
            </w:r>
          </w:p>
        </w:tc>
        <w:tc>
          <w:tcPr>
            <w:tcW w:type="dxa" w:w="3798"/>
            <w:shd w:fill="F6F8FA"/>
            <w:tcMar>
              <w:top w:w="90" w:type="dxa"/>
              <w:start w:w="110" w:type="dxa"/>
              <w:bottom w:w="90" w:type="dxa"/>
              <w:end w:w="110" w:type="dxa"/>
            </w:tcMar>
            <w:vAlign w:val="center"/>
          </w:tcPr>
          <w:p>
            <w:pPr>
              <w:spacing w:after="0"/>
            </w:pPr>
            <w:r>
              <w:rPr>
                <w:sz w:val="17"/>
              </w:rPr>
              <w:t>Exact cosine similarity JSON store</w:t>
            </w:r>
          </w:p>
        </w:tc>
      </w:tr>
      <w:tr>
        <w:trPr>
          <w:trHeight w:hRule="atLeast"/>
        </w:trPr>
        <w:tc>
          <w:tcPr>
            <w:tcW w:type="dxa" w:w="1701"/>
            <w:tcMar>
              <w:top w:w="90" w:type="dxa"/>
              <w:start w:w="110" w:type="dxa"/>
              <w:bottom w:w="90" w:type="dxa"/>
              <w:end w:w="110" w:type="dxa"/>
            </w:tcMar>
            <w:vAlign w:val="center"/>
          </w:tcPr>
          <w:p>
            <w:pPr>
              <w:spacing w:after="0"/>
            </w:pPr>
            <w:r>
              <w:rPr>
                <w:sz w:val="17"/>
              </w:rPr>
              <w:t>Image generation</w:t>
            </w:r>
          </w:p>
        </w:tc>
        <w:tc>
          <w:tcPr>
            <w:tcW w:type="dxa" w:w="3969"/>
            <w:tcMar>
              <w:top w:w="90" w:type="dxa"/>
              <w:start w:w="110" w:type="dxa"/>
              <w:bottom w:w="90" w:type="dxa"/>
              <w:end w:w="110" w:type="dxa"/>
            </w:tcMar>
            <w:vAlign w:val="center"/>
          </w:tcPr>
          <w:p>
            <w:pPr>
              <w:spacing w:after="0"/>
            </w:pPr>
            <w:r>
              <w:rPr>
                <w:sz w:val="17"/>
              </w:rPr>
              <w:t>Optional presentation-only concept visual</w:t>
            </w:r>
          </w:p>
        </w:tc>
        <w:tc>
          <w:tcPr>
            <w:tcW w:type="dxa" w:w="3798"/>
            <w:tcMar>
              <w:top w:w="90" w:type="dxa"/>
              <w:start w:w="110" w:type="dxa"/>
              <w:bottom w:w="90" w:type="dxa"/>
              <w:end w:w="110" w:type="dxa"/>
            </w:tcMar>
            <w:vAlign w:val="center"/>
          </w:tcPr>
          <w:p>
            <w:pPr>
              <w:spacing w:after="0"/>
            </w:pPr>
            <w:r>
              <w:rPr>
                <w:sz w:val="17"/>
              </w:rPr>
              <w:t>OpenAI GPT Image 2</w:t>
            </w:r>
          </w:p>
        </w:tc>
      </w:tr>
      <w:tr>
        <w:trPr>
          <w:trHeight w:hRule="atLeast"/>
        </w:trPr>
        <w:tc>
          <w:tcPr>
            <w:tcW w:type="dxa" w:w="1701"/>
            <w:shd w:fill="F6F8FA"/>
            <w:tcMar>
              <w:top w:w="90" w:type="dxa"/>
              <w:start w:w="110" w:type="dxa"/>
              <w:bottom w:w="90" w:type="dxa"/>
              <w:end w:w="110" w:type="dxa"/>
            </w:tcMar>
            <w:vAlign w:val="center"/>
          </w:tcPr>
          <w:p>
            <w:pPr>
              <w:spacing w:after="0"/>
            </w:pPr>
            <w:r>
              <w:rPr>
                <w:sz w:val="17"/>
              </w:rPr>
              <w:t>UI</w:t>
            </w:r>
          </w:p>
        </w:tc>
        <w:tc>
          <w:tcPr>
            <w:tcW w:type="dxa" w:w="3969"/>
            <w:shd w:fill="F6F8FA"/>
            <w:tcMar>
              <w:top w:w="90" w:type="dxa"/>
              <w:start w:w="110" w:type="dxa"/>
              <w:bottom w:w="90" w:type="dxa"/>
              <w:end w:w="110" w:type="dxa"/>
            </w:tcMar>
            <w:vAlign w:val="center"/>
          </w:tcPr>
          <w:p>
            <w:pPr>
              <w:spacing w:after="0"/>
            </w:pPr>
            <w:r>
              <w:rPr>
                <w:sz w:val="17"/>
              </w:rPr>
              <w:t>Data entry, results, exports and assistant</w:t>
            </w:r>
          </w:p>
        </w:tc>
        <w:tc>
          <w:tcPr>
            <w:tcW w:type="dxa" w:w="3798"/>
            <w:shd w:fill="F6F8FA"/>
            <w:tcMar>
              <w:top w:w="90" w:type="dxa"/>
              <w:start w:w="110" w:type="dxa"/>
              <w:bottom w:w="90" w:type="dxa"/>
              <w:end w:w="110" w:type="dxa"/>
            </w:tcMar>
            <w:vAlign w:val="center"/>
          </w:tcPr>
          <w:p>
            <w:pPr>
              <w:spacing w:after="0"/>
            </w:pPr>
            <w:r>
              <w:rPr>
                <w:sz w:val="17"/>
              </w:rPr>
              <w:t>Streamlit</w:t>
            </w:r>
          </w:p>
        </w:tc>
      </w:tr>
    </w:tbl>
    <w:p>
      <w:pPr>
        <w:pStyle w:val="Heading1"/>
        <w:keepNext/>
        <w:keepLines/>
      </w:pPr>
      <w:r>
        <w:t>2. Shock Selector Tab: Head-to-Toe Guide</w:t>
      </w:r>
    </w:p>
    <w:p>
      <w:pPr>
        <w:spacing w:after="0"/>
        <w:jc w:val="center"/>
      </w:pPr>
      <w:r>
        <w:drawing>
          <wp:inline xmlns:a="http://schemas.openxmlformats.org/drawingml/2006/main" xmlns:pic="http://schemas.openxmlformats.org/drawingml/2006/picture">
            <wp:extent cx="6120000" cy="2448000"/>
            <wp:docPr id="2" name="Picture 2" descr="Figure 2. End-to-end operator workflow." title="Figure 2. End-to-end operator workflow."/>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6120000" cy="2448000"/>
                    </a:xfrm>
                    <a:prstGeom prst="rect"/>
                  </pic:spPr>
                </pic:pic>
              </a:graphicData>
            </a:graphic>
          </wp:inline>
        </w:drawing>
      </w:r>
    </w:p>
    <w:p>
      <w:pPr>
        <w:spacing w:before="60" w:after="160"/>
        <w:jc w:val="center"/>
      </w:pPr>
      <w:r>
        <w:rPr>
          <w:i/>
          <w:color w:val="52616B"/>
          <w:sz w:val="17"/>
        </w:rPr>
        <w:t>Figure 2. End-to-end operator workflow.</w:t>
      </w:r>
    </w:p>
    <w:p>
      <w:pPr>
        <w:pStyle w:val="Heading2"/>
        <w:keepNext/>
        <w:keepLines/>
      </w:pPr>
      <w:r>
        <w:t>2.1 Step 1 - Choose the operating mode</w:t>
      </w:r>
    </w:p>
    <w:tbl>
      <w:tblPr>
        <w:tblStyle w:val="TableGrid"/>
        <w:tblW w:type="auto" w:w="0"/>
        <w:tblLayout w:type="fixed"/>
        <w:tblLook w:firstColumn="1" w:firstRow="1" w:lastColumn="0" w:lastRow="0" w:noHBand="0" w:noVBand="1" w:val="04A0"/>
      </w:tblPr>
      <w:tblGrid>
        <w:gridCol w:w="3251"/>
        <w:gridCol w:w="3251"/>
        <w:gridCol w:w="3251"/>
      </w:tblGrid>
      <w:tr>
        <w:trPr>
          <w:trHeight w:hRule="atLeast"/>
          <w:tblHeader w:val="true"/>
        </w:trPr>
        <w:tc>
          <w:tcPr>
            <w:tcW w:type="dxa" w:w="1814"/>
            <w:shd w:fill="16324F"/>
            <w:tcMar>
              <w:top w:w="90" w:type="dxa"/>
              <w:start w:w="110" w:type="dxa"/>
              <w:bottom w:w="90" w:type="dxa"/>
              <w:end w:w="110" w:type="dxa"/>
            </w:tcMar>
            <w:vAlign w:val="center"/>
          </w:tcPr>
          <w:p>
            <w:pPr>
              <w:spacing w:after="0"/>
            </w:pPr>
            <w:r>
              <w:rPr>
                <w:b/>
                <w:color w:val="FFFFFF"/>
                <w:sz w:val="17"/>
              </w:rPr>
              <w:t>Mode</w:t>
            </w:r>
          </w:p>
        </w:tc>
        <w:tc>
          <w:tcPr>
            <w:tcW w:type="dxa" w:w="3628"/>
            <w:shd w:fill="16324F"/>
            <w:tcMar>
              <w:top w:w="90" w:type="dxa"/>
              <w:start w:w="110" w:type="dxa"/>
              <w:bottom w:w="90" w:type="dxa"/>
              <w:end w:w="110" w:type="dxa"/>
            </w:tcMar>
            <w:vAlign w:val="center"/>
          </w:tcPr>
          <w:p>
            <w:pPr>
              <w:spacing w:after="0"/>
            </w:pPr>
            <w:r>
              <w:rPr>
                <w:b/>
                <w:color w:val="FFFFFF"/>
                <w:sz w:val="17"/>
              </w:rPr>
              <w:t>Use when</w:t>
            </w:r>
          </w:p>
        </w:tc>
        <w:tc>
          <w:tcPr>
            <w:tcW w:type="dxa" w:w="4025"/>
            <w:shd w:fill="16324F"/>
            <w:tcMar>
              <w:top w:w="90" w:type="dxa"/>
              <w:start w:w="110" w:type="dxa"/>
              <w:bottom w:w="90" w:type="dxa"/>
              <w:end w:w="110" w:type="dxa"/>
            </w:tcMar>
            <w:vAlign w:val="center"/>
          </w:tcPr>
          <w:p>
            <w:pPr>
              <w:spacing w:after="0"/>
            </w:pPr>
            <w:r>
              <w:rPr>
                <w:b/>
                <w:color w:val="FFFFFF"/>
                <w:sz w:val="17"/>
              </w:rPr>
              <w:t>What the software does</w:t>
            </w:r>
          </w:p>
        </w:tc>
      </w:tr>
      <w:tr>
        <w:trPr>
          <w:trHeight w:hRule="atLeast"/>
        </w:trPr>
        <w:tc>
          <w:tcPr>
            <w:tcW w:type="dxa" w:w="1814"/>
            <w:tcMar>
              <w:top w:w="90" w:type="dxa"/>
              <w:start w:w="110" w:type="dxa"/>
              <w:bottom w:w="90" w:type="dxa"/>
              <w:end w:w="110" w:type="dxa"/>
            </w:tcMar>
            <w:vAlign w:val="center"/>
          </w:tcPr>
          <w:p>
            <w:pPr>
              <w:spacing w:after="0"/>
            </w:pPr>
            <w:r>
              <w:rPr>
                <w:sz w:val="17"/>
              </w:rPr>
              <w:t>Auto - recommend best part</w:t>
            </w:r>
          </w:p>
        </w:tc>
        <w:tc>
          <w:tcPr>
            <w:tcW w:type="dxa" w:w="3628"/>
            <w:tcMar>
              <w:top w:w="90" w:type="dxa"/>
              <w:start w:w="110" w:type="dxa"/>
              <w:bottom w:w="90" w:type="dxa"/>
              <w:end w:w="110" w:type="dxa"/>
            </w:tcMar>
            <w:vAlign w:val="center"/>
          </w:tcPr>
          <w:p>
            <w:pPr>
              <w:spacing w:after="0"/>
            </w:pPr>
            <w:r>
              <w:rPr>
                <w:sz w:val="17"/>
              </w:rPr>
              <w:t>The engineer knows the requirement but has not selected a part.</w:t>
            </w:r>
          </w:p>
        </w:tc>
        <w:tc>
          <w:tcPr>
            <w:tcW w:type="dxa" w:w="4025"/>
            <w:tcMar>
              <w:top w:w="90" w:type="dxa"/>
              <w:start w:w="110" w:type="dxa"/>
              <w:bottom w:w="90" w:type="dxa"/>
              <w:end w:w="110" w:type="dxa"/>
            </w:tcMar>
            <w:vAlign w:val="center"/>
          </w:tcPr>
          <w:p>
            <w:pPr>
              <w:spacing w:after="0"/>
            </w:pPr>
            <w:r>
              <w:rPr>
                <w:sz w:val="17"/>
              </w:rPr>
              <w:t>Screens the chosen catalog and ranks only candidates that pass all four cases and hard gates.</w:t>
            </w:r>
          </w:p>
        </w:tc>
      </w:tr>
      <w:tr>
        <w:trPr>
          <w:trHeight w:hRule="atLeast"/>
        </w:trPr>
        <w:tc>
          <w:tcPr>
            <w:tcW w:type="dxa" w:w="1814"/>
            <w:shd w:fill="F6F8FA"/>
            <w:tcMar>
              <w:top w:w="90" w:type="dxa"/>
              <w:start w:w="110" w:type="dxa"/>
              <w:bottom w:w="90" w:type="dxa"/>
              <w:end w:w="110" w:type="dxa"/>
            </w:tcMar>
            <w:vAlign w:val="center"/>
          </w:tcPr>
          <w:p>
            <w:pPr>
              <w:spacing w:after="0"/>
            </w:pPr>
            <w:r>
              <w:rPr>
                <w:sz w:val="17"/>
              </w:rPr>
              <w:t>Manual - verify a specific part</w:t>
            </w:r>
          </w:p>
        </w:tc>
        <w:tc>
          <w:tcPr>
            <w:tcW w:type="dxa" w:w="3628"/>
            <w:shd w:fill="F6F8FA"/>
            <w:tcMar>
              <w:top w:w="90" w:type="dxa"/>
              <w:start w:w="110" w:type="dxa"/>
              <w:bottom w:w="90" w:type="dxa"/>
              <w:end w:w="110" w:type="dxa"/>
            </w:tcMar>
            <w:vAlign w:val="center"/>
          </w:tcPr>
          <w:p>
            <w:pPr>
              <w:spacing w:after="0"/>
            </w:pPr>
            <w:r>
              <w:rPr>
                <w:sz w:val="17"/>
              </w:rPr>
              <w:t>A supplier, past project or engineer has already nominated a part.</w:t>
            </w:r>
          </w:p>
        </w:tc>
        <w:tc>
          <w:tcPr>
            <w:tcW w:type="dxa" w:w="4025"/>
            <w:shd w:fill="F6F8FA"/>
            <w:tcMar>
              <w:top w:w="90" w:type="dxa"/>
              <w:start w:w="110" w:type="dxa"/>
              <w:bottom w:w="90" w:type="dxa"/>
              <w:end w:w="110" w:type="dxa"/>
            </w:tcMar>
            <w:vAlign w:val="center"/>
          </w:tcPr>
          <w:p>
            <w:pPr>
              <w:spacing w:after="0"/>
            </w:pPr>
            <w:r>
              <w:rPr>
                <w:sz w:val="17"/>
              </w:rPr>
              <w:t>Runs the same four-case analysis for that one catalog entry and reports pass or fail.</w:t>
            </w:r>
          </w:p>
        </w:tc>
      </w:tr>
      <w:tr>
        <w:trPr>
          <w:trHeight w:hRule="atLeast"/>
        </w:trPr>
        <w:tc>
          <w:tcPr>
            <w:tcW w:type="dxa" w:w="1814"/>
            <w:tcMar>
              <w:top w:w="90" w:type="dxa"/>
              <w:start w:w="110" w:type="dxa"/>
              <w:bottom w:w="90" w:type="dxa"/>
              <w:end w:w="110" w:type="dxa"/>
            </w:tcMar>
            <w:vAlign w:val="center"/>
          </w:tcPr>
          <w:p>
            <w:pPr>
              <w:spacing w:after="0"/>
            </w:pPr>
            <w:r>
              <w:rPr>
                <w:sz w:val="17"/>
              </w:rPr>
              <w:t>Custom vendor data</w:t>
            </w:r>
          </w:p>
        </w:tc>
        <w:tc>
          <w:tcPr>
            <w:tcW w:type="dxa" w:w="3628"/>
            <w:tcMar>
              <w:top w:w="90" w:type="dxa"/>
              <w:start w:w="110" w:type="dxa"/>
              <w:bottom w:w="90" w:type="dxa"/>
              <w:end w:w="110" w:type="dxa"/>
            </w:tcMar>
            <w:vAlign w:val="center"/>
          </w:tcPr>
          <w:p>
            <w:pPr>
              <w:spacing w:after="0"/>
            </w:pPr>
            <w:r>
              <w:rPr>
                <w:sz w:val="17"/>
              </w:rPr>
              <w:t>The part is outside the built-in catalog or the supplier publishes data in another format.</w:t>
            </w:r>
          </w:p>
        </w:tc>
        <w:tc>
          <w:tcPr>
            <w:tcW w:type="dxa" w:w="4025"/>
            <w:tcMar>
              <w:top w:w="90" w:type="dxa"/>
              <w:start w:w="110" w:type="dxa"/>
              <w:bottom w:w="90" w:type="dxa"/>
              <w:end w:w="110" w:type="dxa"/>
            </w:tcMar>
            <w:vAlign w:val="center"/>
          </w:tcPr>
          <w:p>
            <w:pPr>
              <w:spacing w:after="0"/>
            </w:pPr>
            <w:r>
              <w:rPr>
                <w:sz w:val="17"/>
              </w:rPr>
              <w:t>Converts vendor units, derives stiffness when permitted, labels the validation level and runs the common physics engine.</w:t>
            </w:r>
          </w:p>
        </w:tc>
      </w:tr>
    </w:tbl>
    <w:tbl>
      <w:tblPr>
        <w:tblW w:type="auto" w:w="0"/>
        <w:tblLayout w:type="fixed"/>
        <w:tblLook w:firstColumn="1" w:firstRow="1" w:lastColumn="0" w:lastRow="0" w:noHBand="0" w:noVBand="1" w:val="04A0"/>
      </w:tblPr>
      <w:tblGrid>
        <w:gridCol w:w="142"/>
        <w:gridCol w:w="9354"/>
      </w:tblGrid>
      <w:tr>
        <w:trPr>
          <w:tblHeader w:val="true"/>
        </w:trPr>
        <w:tc>
          <w:tcPr>
            <w:tcW w:type="dxa" w:w="4876"/>
            <w:shd w:fill="2E74B5"/>
            <w:tcMar>
              <w:top w:w="0" w:type="dxa"/>
              <w:start w:w="0" w:type="dxa"/>
              <w:bottom w:w="0" w:type="dxa"/>
              <w:end w:w="0" w:type="dxa"/>
            </w:tcMar>
          </w:tcPr>
          <w:p/>
        </w:tc>
        <w:tc>
          <w:tcPr>
            <w:tcW w:type="dxa" w:w="4876"/>
            <w:shd w:fill="F4F8FC"/>
            <w:tcMar>
              <w:top w:w="120" w:type="dxa"/>
              <w:start w:w="150" w:type="dxa"/>
              <w:bottom w:w="120" w:type="dxa"/>
              <w:end w:w="150" w:type="dxa"/>
            </w:tcMar>
            <w:vAlign w:val="center"/>
          </w:tcPr>
          <w:p>
            <w:pPr>
              <w:spacing w:after="60"/>
            </w:pPr>
            <w:r>
              <w:rPr>
                <w:b/>
                <w:color w:val="2E74B5"/>
              </w:rPr>
              <w:t>Recommended default</w:t>
            </w:r>
          </w:p>
          <w:p>
            <w:pPr>
              <w:spacing w:after="0"/>
            </w:pPr>
            <w:r>
              <w:t>Use Auto for an initial recommendation, Manual for an independent check of a proposed part, and Custom vendor data only when the source and assumptions are recorded.</w:t>
            </w:r>
          </w:p>
        </w:tc>
      </w:tr>
    </w:tbl>
    <w:p>
      <w:pPr>
        <w:pStyle w:val="Heading2"/>
        <w:keepNext/>
        <w:keepLines/>
      </w:pPr>
      <w:r>
        <w:t>2.2 Step 2 - Enter the weights</w:t>
      </w:r>
    </w:p>
    <w:p>
      <w:pPr>
        <w:pStyle w:val="BodyText"/>
      </w:pPr>
      <w:r>
        <w:t>Enter the equipment weight and the rack or chassis weight separately. The tab adds them to obtain total system mass M. Separating the two values makes the requirement easier to review and update when payload changes. The current selector distributes the relevant mass across the bottom and wall mounts according to the four implemented load cases.</w:t>
      </w:r>
    </w:p>
    <w:p>
      <w:pPr>
        <w:pStyle w:val="ListBullet"/>
      </w:pPr>
      <w:r>
        <w:t>Equipment weight: payload such as servers, network equipment, power modules and accessories.</w:t>
      </w:r>
    </w:p>
    <w:p>
      <w:pPr>
        <w:pStyle w:val="ListBullet"/>
      </w:pPr>
      <w:r>
        <w:t>Rack or chassis weight: frame, enclosure, shelves, doors and structural hardware.</w:t>
      </w:r>
    </w:p>
    <w:p>
      <w:pPr>
        <w:pStyle w:val="ListBullet"/>
      </w:pPr>
      <w:r>
        <w:t>Total mass: equipment plus rack. Do not enter force units or include an unapproved safety factor here.</w:t>
      </w:r>
    </w:p>
    <w:tbl>
      <w:tblPr>
        <w:tblW w:type="auto" w:w="0"/>
        <w:tblLayout w:type="fixed"/>
        <w:tblLook w:firstColumn="1" w:firstRow="1" w:lastColumn="0" w:lastRow="0" w:noHBand="0" w:noVBand="1" w:val="04A0"/>
      </w:tblPr>
      <w:tblGrid>
        <w:gridCol w:w="142"/>
        <w:gridCol w:w="9354"/>
      </w:tblGrid>
      <w:tr>
        <w:trPr>
          <w:tblHeader w:val="true"/>
        </w:trPr>
        <w:tc>
          <w:tcPr>
            <w:tcW w:type="dxa" w:w="4876"/>
            <w:shd w:fill="B36B00"/>
            <w:tcMar>
              <w:top w:w="0" w:type="dxa"/>
              <w:start w:w="0" w:type="dxa"/>
              <w:bottom w:w="0" w:type="dxa"/>
              <w:end w:w="0" w:type="dxa"/>
            </w:tcMar>
          </w:tcPr>
          <w:p/>
        </w:tc>
        <w:tc>
          <w:tcPr>
            <w:tcW w:type="dxa" w:w="4876"/>
            <w:shd w:fill="FFF4DC"/>
            <w:tcMar>
              <w:top w:w="120" w:type="dxa"/>
              <w:start w:w="150" w:type="dxa"/>
              <w:bottom w:w="120" w:type="dxa"/>
              <w:end w:w="150" w:type="dxa"/>
            </w:tcMar>
            <w:vAlign w:val="center"/>
          </w:tcPr>
          <w:p>
            <w:pPr>
              <w:spacing w:after="60"/>
            </w:pPr>
            <w:r>
              <w:rPr>
                <w:b/>
                <w:color w:val="B36B00"/>
              </w:rPr>
              <w:t>Missing or uncertain mass</w:t>
            </w:r>
          </w:p>
          <w:p>
            <w:pPr>
              <w:spacing w:after="0"/>
            </w:pPr>
            <w:r>
              <w:t>Do not guess. Record the source, use a controlled conservative value only when approved, and rerun the analysis when measured mass becomes available.</w:t>
            </w:r>
          </w:p>
        </w:tc>
      </w:tr>
    </w:tbl>
    <w:p>
      <w:pPr>
        <w:pStyle w:val="Heading2"/>
        <w:keepNext/>
        <w:keepLines/>
      </w:pPr>
      <w:r>
        <w:t>2.3 Step 3 - Select the catalog scope and objective</w:t>
      </w:r>
    </w:p>
    <w:p>
      <w:pPr>
        <w:pStyle w:val="BodyText"/>
      </w:pPr>
      <w:r>
        <w:t>In Auto mode, Catalog filter limits which isolator families are considered. The default selection scope excludes optional families that require explicit inclusion. Selection objective changes how already-valid parts are ranked; it does not relax clearance, shock, travel or static-load gates.</w:t>
      </w:r>
    </w:p>
    <w:tbl>
      <w:tblPr>
        <w:tblStyle w:val="TableGrid"/>
        <w:tblW w:type="auto" w:w="0"/>
        <w:tblLayout w:type="fixed"/>
        <w:tblLook w:firstColumn="1" w:firstRow="1" w:lastColumn="0" w:lastRow="0" w:noHBand="0" w:noVBand="1" w:val="04A0"/>
      </w:tblPr>
      <w:tblGrid>
        <w:gridCol w:w="3251"/>
        <w:gridCol w:w="3251"/>
        <w:gridCol w:w="3251"/>
      </w:tblGrid>
      <w:tr>
        <w:trPr>
          <w:trHeight w:hRule="atLeast"/>
          <w:tblHeader w:val="true"/>
        </w:trPr>
        <w:tc>
          <w:tcPr>
            <w:tcW w:type="dxa" w:w="2438"/>
            <w:shd w:fill="16324F"/>
            <w:tcMar>
              <w:top w:w="90" w:type="dxa"/>
              <w:start w:w="110" w:type="dxa"/>
              <w:bottom w:w="90" w:type="dxa"/>
              <w:end w:w="110" w:type="dxa"/>
            </w:tcMar>
            <w:vAlign w:val="center"/>
          </w:tcPr>
          <w:p>
            <w:pPr>
              <w:spacing w:after="0"/>
            </w:pPr>
            <w:r>
              <w:rPr>
                <w:b/>
                <w:color w:val="FFFFFF"/>
                <w:sz w:val="17"/>
              </w:rPr>
              <w:t>Objective</w:t>
            </w:r>
          </w:p>
        </w:tc>
        <w:tc>
          <w:tcPr>
            <w:tcW w:type="dxa" w:w="3969"/>
            <w:shd w:fill="16324F"/>
            <w:tcMar>
              <w:top w:w="90" w:type="dxa"/>
              <w:start w:w="110" w:type="dxa"/>
              <w:bottom w:w="90" w:type="dxa"/>
              <w:end w:w="110" w:type="dxa"/>
            </w:tcMar>
            <w:vAlign w:val="center"/>
          </w:tcPr>
          <w:p>
            <w:pPr>
              <w:spacing w:after="0"/>
            </w:pPr>
            <w:r>
              <w:rPr>
                <w:b/>
                <w:color w:val="FFFFFF"/>
                <w:sz w:val="17"/>
              </w:rPr>
              <w:t>Engineering meaning</w:t>
            </w:r>
          </w:p>
        </w:tc>
        <w:tc>
          <w:tcPr>
            <w:tcW w:type="dxa" w:w="3061"/>
            <w:shd w:fill="16324F"/>
            <w:tcMar>
              <w:top w:w="90" w:type="dxa"/>
              <w:start w:w="110" w:type="dxa"/>
              <w:bottom w:w="90" w:type="dxa"/>
              <w:end w:w="110" w:type="dxa"/>
            </w:tcMar>
            <w:vAlign w:val="center"/>
          </w:tcPr>
          <w:p>
            <w:pPr>
              <w:spacing w:after="0"/>
            </w:pPr>
            <w:r>
              <w:rPr>
                <w:b/>
                <w:color w:val="FFFFFF"/>
                <w:sz w:val="17"/>
              </w:rPr>
              <w:t>Typical reason</w:t>
            </w:r>
          </w:p>
        </w:tc>
      </w:tr>
      <w:tr>
        <w:trPr>
          <w:trHeight w:hRule="atLeast"/>
        </w:trPr>
        <w:tc>
          <w:tcPr>
            <w:tcW w:type="dxa" w:w="2438"/>
            <w:tcMar>
              <w:top w:w="90" w:type="dxa"/>
              <w:start w:w="110" w:type="dxa"/>
              <w:bottom w:w="90" w:type="dxa"/>
              <w:end w:w="110" w:type="dxa"/>
            </w:tcMar>
            <w:vAlign w:val="center"/>
          </w:tcPr>
          <w:p>
            <w:pPr>
              <w:spacing w:after="0"/>
            </w:pPr>
            <w:r>
              <w:rPr>
                <w:sz w:val="17"/>
              </w:rPr>
              <w:t>Least movement / maximum clearance</w:t>
            </w:r>
          </w:p>
        </w:tc>
        <w:tc>
          <w:tcPr>
            <w:tcW w:type="dxa" w:w="3969"/>
            <w:tcMar>
              <w:top w:w="90" w:type="dxa"/>
              <w:start w:w="110" w:type="dxa"/>
              <w:bottom w:w="90" w:type="dxa"/>
              <w:end w:w="110" w:type="dxa"/>
            </w:tcMar>
            <w:vAlign w:val="center"/>
          </w:tcPr>
          <w:p>
            <w:pPr>
              <w:spacing w:after="0"/>
            </w:pPr>
            <w:r>
              <w:rPr>
                <w:sz w:val="17"/>
              </w:rPr>
              <w:t>Prefers a valid part with lower calculated movement.</w:t>
            </w:r>
          </w:p>
        </w:tc>
        <w:tc>
          <w:tcPr>
            <w:tcW w:type="dxa" w:w="3061"/>
            <w:tcMar>
              <w:top w:w="90" w:type="dxa"/>
              <w:start w:w="110" w:type="dxa"/>
              <w:bottom w:w="90" w:type="dxa"/>
              <w:end w:w="110" w:type="dxa"/>
            </w:tcMar>
            <w:vAlign w:val="center"/>
          </w:tcPr>
          <w:p>
            <w:pPr>
              <w:spacing w:after="0"/>
            </w:pPr>
            <w:r>
              <w:rPr>
                <w:sz w:val="17"/>
              </w:rPr>
              <w:t>Tight internal or neighbouring-equipment clearance.</w:t>
            </w:r>
          </w:p>
        </w:tc>
      </w:tr>
      <w:tr>
        <w:trPr>
          <w:trHeight w:hRule="atLeast"/>
        </w:trPr>
        <w:tc>
          <w:tcPr>
            <w:tcW w:type="dxa" w:w="2438"/>
            <w:shd w:fill="F6F8FA"/>
            <w:tcMar>
              <w:top w:w="90" w:type="dxa"/>
              <w:start w:w="110" w:type="dxa"/>
              <w:bottom w:w="90" w:type="dxa"/>
              <w:end w:w="110" w:type="dxa"/>
            </w:tcMar>
            <w:vAlign w:val="center"/>
          </w:tcPr>
          <w:p>
            <w:pPr>
              <w:spacing w:after="0"/>
            </w:pPr>
            <w:r>
              <w:rPr>
                <w:sz w:val="17"/>
              </w:rPr>
              <w:t>Lowest transmitted shock</w:t>
            </w:r>
          </w:p>
        </w:tc>
        <w:tc>
          <w:tcPr>
            <w:tcW w:type="dxa" w:w="3969"/>
            <w:shd w:fill="F6F8FA"/>
            <w:tcMar>
              <w:top w:w="90" w:type="dxa"/>
              <w:start w:w="110" w:type="dxa"/>
              <w:bottom w:w="90" w:type="dxa"/>
              <w:end w:w="110" w:type="dxa"/>
            </w:tcMar>
            <w:vAlign w:val="center"/>
          </w:tcPr>
          <w:p>
            <w:pPr>
              <w:spacing w:after="0"/>
            </w:pPr>
            <w:r>
              <w:rPr>
                <w:sz w:val="17"/>
              </w:rPr>
              <w:t>Prefers the softest valid solution with lower transmitted acceleration.</w:t>
            </w:r>
          </w:p>
        </w:tc>
        <w:tc>
          <w:tcPr>
            <w:tcW w:type="dxa" w:w="3061"/>
            <w:shd w:fill="F6F8FA"/>
            <w:tcMar>
              <w:top w:w="90" w:type="dxa"/>
              <w:start w:w="110" w:type="dxa"/>
              <w:bottom w:w="90" w:type="dxa"/>
              <w:end w:w="110" w:type="dxa"/>
            </w:tcMar>
            <w:vAlign w:val="center"/>
          </w:tcPr>
          <w:p>
            <w:pPr>
              <w:spacing w:after="0"/>
            </w:pPr>
            <w:r>
              <w:rPr>
                <w:sz w:val="17"/>
              </w:rPr>
              <w:t>Fragile protected equipment and sufficient movement allowance.</w:t>
            </w:r>
          </w:p>
        </w:tc>
      </w:tr>
    </w:tbl>
    <w:p>
      <w:pPr>
        <w:pStyle w:val="Heading2"/>
        <w:keepNext/>
        <w:keepLines/>
      </w:pPr>
      <w:r>
        <w:t>2.4 Step 4 - Define the mount configuration</w:t>
      </w:r>
    </w:p>
    <w:p>
      <w:pPr>
        <w:pStyle w:val="BodyText"/>
      </w:pPr>
      <w:r>
        <w:t>Enter the number of bottom mounts and wall mounts, then choose the wall face used by the layout drawing. The mount counts affect load per isolator and therefore natural frequency, transmitted shock, movement and static utilization. The wall face affects the conceptual layout only; it does not replace a detailed bracket or moment analysis.</w:t>
      </w:r>
    </w:p>
    <w:p>
      <w:pPr>
        <w:pStyle w:val="ListBullet"/>
      </w:pPr>
      <w:r>
        <w:t>Bottom mounts carry the full compression-bottom load in the validated model.</w:t>
      </w:r>
    </w:p>
    <w:p>
      <w:pPr>
        <w:pStyle w:val="ListBullet"/>
      </w:pPr>
      <w:r>
        <w:t>Wall and roll cases use the approved mass-sharing rule from the reference calculation.</w:t>
      </w:r>
    </w:p>
    <w:p>
      <w:pPr>
        <w:pStyle w:val="ListBullet"/>
      </w:pPr>
      <w:r>
        <w:t>Gang count alone does not uniquely determine a valid arrangement. Use actual project geometry.</w:t>
      </w:r>
    </w:p>
    <w:p>
      <w:pPr>
        <w:pStyle w:val="ListBullet"/>
      </w:pPr>
      <w:r>
        <w:t>Wall stabilizer height and centre of gravity are requested later in the supplier pack because they require supplier or structural review.</w:t>
      </w:r>
    </w:p>
    <w:p>
      <w:pPr>
        <w:pStyle w:val="Heading2"/>
        <w:keepNext/>
        <w:keepLines/>
      </w:pPr>
      <w:r>
        <w:t>2.5 Step 5 - Enter custom vendor data when applicable</w:t>
      </w:r>
    </w:p>
    <w:p>
      <w:pPr>
        <w:pStyle w:val="BodyText"/>
      </w:pPr>
      <w:r>
        <w:t>Custom vendor mode accepts compression and shear data independently. Each direction can use direct stiffness, rated load at natural frequency, or force at deflection. The backend normalizes the data to SI units and states whether the result is based on direct validated stiffness or a screening-only derivation.</w:t>
      </w:r>
    </w:p>
    <w:tbl>
      <w:tblPr>
        <w:tblStyle w:val="TableGrid"/>
        <w:tblW w:type="auto" w:w="0"/>
        <w:tblLayout w:type="fixed"/>
        <w:tblLook w:firstColumn="1" w:firstRow="1" w:lastColumn="0" w:lastRow="0" w:noHBand="0" w:noVBand="1" w:val="04A0"/>
      </w:tblPr>
      <w:tblGrid>
        <w:gridCol w:w="3251"/>
        <w:gridCol w:w="3251"/>
        <w:gridCol w:w="3251"/>
      </w:tblGrid>
      <w:tr>
        <w:trPr>
          <w:trHeight w:hRule="atLeast"/>
          <w:tblHeader w:val="true"/>
        </w:trPr>
        <w:tc>
          <w:tcPr>
            <w:tcW w:type="dxa" w:w="2268"/>
            <w:shd w:fill="16324F"/>
            <w:tcMar>
              <w:top w:w="90" w:type="dxa"/>
              <w:start w:w="110" w:type="dxa"/>
              <w:bottom w:w="90" w:type="dxa"/>
              <w:end w:w="110" w:type="dxa"/>
            </w:tcMar>
            <w:vAlign w:val="center"/>
          </w:tcPr>
          <w:p>
            <w:pPr>
              <w:spacing w:after="0"/>
            </w:pPr>
            <w:r>
              <w:rPr>
                <w:b/>
                <w:color w:val="FFFFFF"/>
                <w:sz w:val="17"/>
              </w:rPr>
              <w:t>Input method</w:t>
            </w:r>
          </w:p>
        </w:tc>
        <w:tc>
          <w:tcPr>
            <w:tcW w:type="dxa" w:w="2721"/>
            <w:shd w:fill="16324F"/>
            <w:tcMar>
              <w:top w:w="90" w:type="dxa"/>
              <w:start w:w="110" w:type="dxa"/>
              <w:bottom w:w="90" w:type="dxa"/>
              <w:end w:w="110" w:type="dxa"/>
            </w:tcMar>
            <w:vAlign w:val="center"/>
          </w:tcPr>
          <w:p>
            <w:pPr>
              <w:spacing w:after="0"/>
            </w:pPr>
            <w:r>
              <w:rPr>
                <w:b/>
                <w:color w:val="FFFFFF"/>
                <w:sz w:val="17"/>
              </w:rPr>
              <w:t>Derived quantity</w:t>
            </w:r>
          </w:p>
        </w:tc>
        <w:tc>
          <w:tcPr>
            <w:tcW w:type="dxa" w:w="4479"/>
            <w:shd w:fill="16324F"/>
            <w:tcMar>
              <w:top w:w="90" w:type="dxa"/>
              <w:start w:w="110" w:type="dxa"/>
              <w:bottom w:w="90" w:type="dxa"/>
              <w:end w:w="110" w:type="dxa"/>
            </w:tcMar>
            <w:vAlign w:val="center"/>
          </w:tcPr>
          <w:p>
            <w:pPr>
              <w:spacing w:after="0"/>
            </w:pPr>
            <w:r>
              <w:rPr>
                <w:b/>
                <w:color w:val="FFFFFF"/>
                <w:sz w:val="17"/>
              </w:rPr>
              <w:t>Use and limitation</w:t>
            </w:r>
          </w:p>
        </w:tc>
      </w:tr>
      <w:tr>
        <w:trPr>
          <w:trHeight w:hRule="atLeast"/>
        </w:trPr>
        <w:tc>
          <w:tcPr>
            <w:tcW w:type="dxa" w:w="2268"/>
            <w:tcMar>
              <w:top w:w="90" w:type="dxa"/>
              <w:start w:w="110" w:type="dxa"/>
              <w:bottom w:w="90" w:type="dxa"/>
              <w:end w:w="110" w:type="dxa"/>
            </w:tcMar>
            <w:vAlign w:val="center"/>
          </w:tcPr>
          <w:p>
            <w:pPr>
              <w:spacing w:after="0"/>
            </w:pPr>
            <w:r>
              <w:rPr>
                <w:sz w:val="17"/>
              </w:rPr>
              <w:t>Direct stiffness K</w:t>
            </w:r>
          </w:p>
        </w:tc>
        <w:tc>
          <w:tcPr>
            <w:tcW w:type="dxa" w:w="2721"/>
            <w:tcMar>
              <w:top w:w="90" w:type="dxa"/>
              <w:start w:w="110" w:type="dxa"/>
              <w:bottom w:w="90" w:type="dxa"/>
              <w:end w:w="110" w:type="dxa"/>
            </w:tcMar>
            <w:vAlign w:val="center"/>
          </w:tcPr>
          <w:p>
            <w:pPr>
              <w:spacing w:after="0"/>
            </w:pPr>
            <w:r>
              <w:rPr>
                <w:sz w:val="17"/>
              </w:rPr>
              <w:t>Vendor K converted to N/m</w:t>
            </w:r>
          </w:p>
        </w:tc>
        <w:tc>
          <w:tcPr>
            <w:tcW w:type="dxa" w:w="4479"/>
            <w:tcMar>
              <w:top w:w="90" w:type="dxa"/>
              <w:start w:w="110" w:type="dxa"/>
              <w:bottom w:w="90" w:type="dxa"/>
              <w:end w:w="110" w:type="dxa"/>
            </w:tcMar>
            <w:vAlign w:val="center"/>
          </w:tcPr>
          <w:p>
            <w:pPr>
              <w:spacing w:after="0"/>
            </w:pPr>
            <w:r>
              <w:rPr>
                <w:sz w:val="17"/>
              </w:rPr>
              <w:t>Preferred when the supplier publishes direction-specific stiffness.</w:t>
            </w:r>
          </w:p>
        </w:tc>
      </w:tr>
      <w:tr>
        <w:trPr>
          <w:trHeight w:hRule="atLeast"/>
        </w:trPr>
        <w:tc>
          <w:tcPr>
            <w:tcW w:type="dxa" w:w="2268"/>
            <w:shd w:fill="F6F8FA"/>
            <w:tcMar>
              <w:top w:w="90" w:type="dxa"/>
              <w:start w:w="110" w:type="dxa"/>
              <w:bottom w:w="90" w:type="dxa"/>
              <w:end w:w="110" w:type="dxa"/>
            </w:tcMar>
            <w:vAlign w:val="center"/>
          </w:tcPr>
          <w:p>
            <w:pPr>
              <w:spacing w:after="0"/>
            </w:pPr>
            <w:r>
              <w:rPr>
                <w:sz w:val="17"/>
              </w:rPr>
              <w:t>Rated load at natural frequency</w:t>
            </w:r>
          </w:p>
        </w:tc>
        <w:tc>
          <w:tcPr>
            <w:tcW w:type="dxa" w:w="2721"/>
            <w:shd w:fill="F6F8FA"/>
            <w:tcMar>
              <w:top w:w="90" w:type="dxa"/>
              <w:start w:w="110" w:type="dxa"/>
              <w:bottom w:w="90" w:type="dxa"/>
              <w:end w:w="110" w:type="dxa"/>
            </w:tcMar>
            <w:vAlign w:val="center"/>
          </w:tcPr>
          <w:p>
            <w:pPr>
              <w:spacing w:after="0"/>
            </w:pPr>
            <w:r>
              <w:rPr>
                <w:sz w:val="17"/>
              </w:rPr>
              <w:t>K = m x (2 x pi x fn)^2</w:t>
            </w:r>
          </w:p>
        </w:tc>
        <w:tc>
          <w:tcPr>
            <w:tcW w:type="dxa" w:w="4479"/>
            <w:shd w:fill="F6F8FA"/>
            <w:tcMar>
              <w:top w:w="90" w:type="dxa"/>
              <w:start w:w="110" w:type="dxa"/>
              <w:bottom w:w="90" w:type="dxa"/>
              <w:end w:w="110" w:type="dxa"/>
            </w:tcMar>
            <w:vAlign w:val="center"/>
          </w:tcPr>
          <w:p>
            <w:pPr>
              <w:spacing w:after="0"/>
            </w:pPr>
            <w:r>
              <w:rPr>
                <w:sz w:val="17"/>
              </w:rPr>
              <w:t>Useful for screening; depends on interpretation of the vendor rating.</w:t>
            </w:r>
          </w:p>
        </w:tc>
      </w:tr>
      <w:tr>
        <w:trPr>
          <w:trHeight w:hRule="atLeast"/>
        </w:trPr>
        <w:tc>
          <w:tcPr>
            <w:tcW w:type="dxa" w:w="2268"/>
            <w:tcMar>
              <w:top w:w="90" w:type="dxa"/>
              <w:start w:w="110" w:type="dxa"/>
              <w:bottom w:w="90" w:type="dxa"/>
              <w:end w:w="110" w:type="dxa"/>
            </w:tcMar>
            <w:vAlign w:val="center"/>
          </w:tcPr>
          <w:p>
            <w:pPr>
              <w:spacing w:after="0"/>
            </w:pPr>
            <w:r>
              <w:rPr>
                <w:sz w:val="17"/>
              </w:rPr>
              <w:t>Shock force at deflection</w:t>
            </w:r>
          </w:p>
        </w:tc>
        <w:tc>
          <w:tcPr>
            <w:tcW w:type="dxa" w:w="2721"/>
            <w:tcMar>
              <w:top w:w="90" w:type="dxa"/>
              <w:start w:w="110" w:type="dxa"/>
              <w:bottom w:w="90" w:type="dxa"/>
              <w:end w:w="110" w:type="dxa"/>
            </w:tcMar>
            <w:vAlign w:val="center"/>
          </w:tcPr>
          <w:p>
            <w:pPr>
              <w:spacing w:after="0"/>
            </w:pPr>
            <w:r>
              <w:rPr>
                <w:sz w:val="17"/>
              </w:rPr>
              <w:t>K = F / displacement</w:t>
            </w:r>
          </w:p>
        </w:tc>
        <w:tc>
          <w:tcPr>
            <w:tcW w:type="dxa" w:w="4479"/>
            <w:tcMar>
              <w:top w:w="90" w:type="dxa"/>
              <w:start w:w="110" w:type="dxa"/>
              <w:bottom w:w="90" w:type="dxa"/>
              <w:end w:w="110" w:type="dxa"/>
            </w:tcMar>
            <w:vAlign w:val="center"/>
          </w:tcPr>
          <w:p>
            <w:pPr>
              <w:spacing w:after="0"/>
            </w:pPr>
            <w:r>
              <w:rPr>
                <w:sz w:val="17"/>
              </w:rPr>
              <w:t>Secant approximation for screening; does not reproduce a nonlinear force-deflection curve.</w:t>
            </w:r>
          </w:p>
        </w:tc>
      </w:tr>
    </w:tbl>
    <w:p>
      <w:pPr>
        <w:pStyle w:val="BodyText"/>
      </w:pPr>
      <w:r>
        <w:t>Enter compression and shear travel, the optional static compression rating and a source note. If a vendor does not publish a static rating, the software reports the calculated static load per bottom mount and marks supplier confirmation as pending.</w:t>
      </w:r>
    </w:p>
    <w:p>
      <w:pPr>
        <w:pStyle w:val="Heading2"/>
        <w:keepNext/>
        <w:keepLines/>
      </w:pPr>
      <w:r>
        <w:t>2.6 Step 6 - Enter enclosure dimensions</w:t>
      </w:r>
    </w:p>
    <w:p>
      <w:pPr>
        <w:pStyle w:val="BodyText"/>
      </w:pPr>
      <w:r>
        <w:t>Width, depth and height create the deterministic three-dimensional mount-layout and movement envelope. These dimensions support communication and interference review; they are not a manufacturing drawing. Use external rack dimensions or the approved installation envelope, and record the coordinate convention used.</w:t>
      </w:r>
    </w:p>
    <w:p>
      <w:pPr>
        <w:pStyle w:val="Heading2"/>
        <w:keepNext/>
        <w:keepLines/>
      </w:pPr>
      <w:r>
        <w:t>2.7 Step 7 - Define the shock environment</w:t>
      </w:r>
    </w:p>
    <w:tbl>
      <w:tblPr>
        <w:tblStyle w:val="TableGrid"/>
        <w:tblW w:type="auto" w:w="0"/>
        <w:tblLayout w:type="fixed"/>
        <w:tblLook w:firstColumn="1" w:firstRow="1" w:lastColumn="0" w:lastRow="0" w:noHBand="0" w:noVBand="1" w:val="04A0"/>
      </w:tblPr>
      <w:tblGrid>
        <w:gridCol w:w="3251"/>
        <w:gridCol w:w="3251"/>
        <w:gridCol w:w="3251"/>
      </w:tblGrid>
      <w:tr>
        <w:trPr>
          <w:trHeight w:hRule="atLeast"/>
          <w:tblHeader w:val="true"/>
        </w:trPr>
        <w:tc>
          <w:tcPr>
            <w:tcW w:type="dxa" w:w="2268"/>
            <w:shd w:fill="16324F"/>
            <w:tcMar>
              <w:top w:w="90" w:type="dxa"/>
              <w:start w:w="110" w:type="dxa"/>
              <w:bottom w:w="90" w:type="dxa"/>
              <w:end w:w="110" w:type="dxa"/>
            </w:tcMar>
            <w:vAlign w:val="center"/>
          </w:tcPr>
          <w:p>
            <w:pPr>
              <w:spacing w:after="0"/>
            </w:pPr>
            <w:r>
              <w:rPr>
                <w:b/>
                <w:color w:val="FFFFFF"/>
                <w:sz w:val="17"/>
              </w:rPr>
              <w:t>Field</w:t>
            </w:r>
          </w:p>
        </w:tc>
        <w:tc>
          <w:tcPr>
            <w:tcW w:type="dxa" w:w="3969"/>
            <w:shd w:fill="16324F"/>
            <w:tcMar>
              <w:top w:w="90" w:type="dxa"/>
              <w:start w:w="110" w:type="dxa"/>
              <w:bottom w:w="90" w:type="dxa"/>
              <w:end w:w="110" w:type="dxa"/>
            </w:tcMar>
            <w:vAlign w:val="center"/>
          </w:tcPr>
          <w:p>
            <w:pPr>
              <w:spacing w:after="0"/>
            </w:pPr>
            <w:r>
              <w:rPr>
                <w:b/>
                <w:color w:val="FFFFFF"/>
                <w:sz w:val="17"/>
              </w:rPr>
              <w:t>Meaning</w:t>
            </w:r>
          </w:p>
        </w:tc>
        <w:tc>
          <w:tcPr>
            <w:tcW w:type="dxa" w:w="3231"/>
            <w:shd w:fill="16324F"/>
            <w:tcMar>
              <w:top w:w="90" w:type="dxa"/>
              <w:start w:w="110" w:type="dxa"/>
              <w:bottom w:w="90" w:type="dxa"/>
              <w:end w:w="110" w:type="dxa"/>
            </w:tcMar>
            <w:vAlign w:val="center"/>
          </w:tcPr>
          <w:p>
            <w:pPr>
              <w:spacing w:after="0"/>
            </w:pPr>
            <w:r>
              <w:rPr>
                <w:b/>
                <w:color w:val="FFFFFF"/>
                <w:sz w:val="17"/>
              </w:rPr>
              <w:t>Review point</w:t>
            </w:r>
          </w:p>
        </w:tc>
      </w:tr>
      <w:tr>
        <w:trPr>
          <w:trHeight w:hRule="atLeast"/>
        </w:trPr>
        <w:tc>
          <w:tcPr>
            <w:tcW w:type="dxa" w:w="2268"/>
            <w:tcMar>
              <w:top w:w="90" w:type="dxa"/>
              <w:start w:w="110" w:type="dxa"/>
              <w:bottom w:w="90" w:type="dxa"/>
              <w:end w:w="110" w:type="dxa"/>
            </w:tcMar>
            <w:vAlign w:val="center"/>
          </w:tcPr>
          <w:p>
            <w:pPr>
              <w:spacing w:after="0"/>
            </w:pPr>
            <w:r>
              <w:rPr>
                <w:sz w:val="17"/>
              </w:rPr>
              <w:t>Input shock Ao (G)</w:t>
            </w:r>
          </w:p>
        </w:tc>
        <w:tc>
          <w:tcPr>
            <w:tcW w:type="dxa" w:w="3969"/>
            <w:tcMar>
              <w:top w:w="90" w:type="dxa"/>
              <w:start w:w="110" w:type="dxa"/>
              <w:bottom w:w="90" w:type="dxa"/>
              <w:end w:w="110" w:type="dxa"/>
            </w:tcMar>
            <w:vAlign w:val="center"/>
          </w:tcPr>
          <w:p>
            <w:pPr>
              <w:spacing w:after="0"/>
            </w:pPr>
            <w:r>
              <w:rPr>
                <w:sz w:val="17"/>
              </w:rPr>
              <w:t>Peak acceleration applied to the supporting structure.</w:t>
            </w:r>
          </w:p>
        </w:tc>
        <w:tc>
          <w:tcPr>
            <w:tcW w:type="dxa" w:w="3231"/>
            <w:tcMar>
              <w:top w:w="90" w:type="dxa"/>
              <w:start w:w="110" w:type="dxa"/>
              <w:bottom w:w="90" w:type="dxa"/>
              <w:end w:w="110" w:type="dxa"/>
            </w:tcMar>
            <w:vAlign w:val="center"/>
          </w:tcPr>
          <w:p>
            <w:pPr>
              <w:spacing w:after="0"/>
            </w:pPr>
            <w:r>
              <w:rPr>
                <w:sz w:val="17"/>
              </w:rPr>
              <w:t>Use the approved transport or equipment requirement.</w:t>
            </w:r>
          </w:p>
        </w:tc>
      </w:tr>
      <w:tr>
        <w:trPr>
          <w:trHeight w:hRule="atLeast"/>
        </w:trPr>
        <w:tc>
          <w:tcPr>
            <w:tcW w:type="dxa" w:w="2268"/>
            <w:shd w:fill="F6F8FA"/>
            <w:tcMar>
              <w:top w:w="90" w:type="dxa"/>
              <w:start w:w="110" w:type="dxa"/>
              <w:bottom w:w="90" w:type="dxa"/>
              <w:end w:w="110" w:type="dxa"/>
            </w:tcMar>
            <w:vAlign w:val="center"/>
          </w:tcPr>
          <w:p>
            <w:pPr>
              <w:spacing w:after="0"/>
            </w:pPr>
            <w:r>
              <w:rPr>
                <w:sz w:val="17"/>
              </w:rPr>
              <w:t>Pulse duration (ms)</w:t>
            </w:r>
          </w:p>
        </w:tc>
        <w:tc>
          <w:tcPr>
            <w:tcW w:type="dxa" w:w="3969"/>
            <w:shd w:fill="F6F8FA"/>
            <w:tcMar>
              <w:top w:w="90" w:type="dxa"/>
              <w:start w:w="110" w:type="dxa"/>
              <w:bottom w:w="90" w:type="dxa"/>
              <w:end w:w="110" w:type="dxa"/>
            </w:tcMar>
            <w:vAlign w:val="center"/>
          </w:tcPr>
          <w:p>
            <w:pPr>
              <w:spacing w:after="0"/>
            </w:pPr>
            <w:r>
              <w:rPr>
                <w:sz w:val="17"/>
              </w:rPr>
              <w:t>Duration of the idealized shock pulse.</w:t>
            </w:r>
          </w:p>
        </w:tc>
        <w:tc>
          <w:tcPr>
            <w:tcW w:type="dxa" w:w="3231"/>
            <w:shd w:fill="F6F8FA"/>
            <w:tcMar>
              <w:top w:w="90" w:type="dxa"/>
              <w:start w:w="110" w:type="dxa"/>
              <w:bottom w:w="90" w:type="dxa"/>
              <w:end w:w="110" w:type="dxa"/>
            </w:tcMar>
            <w:vAlign w:val="center"/>
          </w:tcPr>
          <w:p>
            <w:pPr>
              <w:spacing w:after="0"/>
            </w:pPr>
            <w:r>
              <w:rPr>
                <w:sz w:val="17"/>
              </w:rPr>
              <w:t>The model-facing unit is milliseconds to avoid decimal truncation.</w:t>
            </w:r>
          </w:p>
        </w:tc>
      </w:tr>
      <w:tr>
        <w:trPr>
          <w:trHeight w:hRule="atLeast"/>
        </w:trPr>
        <w:tc>
          <w:tcPr>
            <w:tcW w:type="dxa" w:w="2268"/>
            <w:tcMar>
              <w:top w:w="90" w:type="dxa"/>
              <w:start w:w="110" w:type="dxa"/>
              <w:bottom w:w="90" w:type="dxa"/>
              <w:end w:w="110" w:type="dxa"/>
            </w:tcMar>
            <w:vAlign w:val="center"/>
          </w:tcPr>
          <w:p>
            <w:pPr>
              <w:spacing w:after="0"/>
            </w:pPr>
            <w:r>
              <w:rPr>
                <w:sz w:val="17"/>
              </w:rPr>
              <w:t>Transmitted-G limit</w:t>
            </w:r>
          </w:p>
        </w:tc>
        <w:tc>
          <w:tcPr>
            <w:tcW w:type="dxa" w:w="3969"/>
            <w:tcMar>
              <w:top w:w="90" w:type="dxa"/>
              <w:start w:w="110" w:type="dxa"/>
              <w:bottom w:w="90" w:type="dxa"/>
              <w:end w:w="110" w:type="dxa"/>
            </w:tcMar>
            <w:vAlign w:val="center"/>
          </w:tcPr>
          <w:p>
            <w:pPr>
              <w:spacing w:after="0"/>
            </w:pPr>
            <w:r>
              <w:rPr>
                <w:sz w:val="17"/>
              </w:rPr>
              <w:t>Maximum accepted output acceleration at the protected equipment.</w:t>
            </w:r>
          </w:p>
        </w:tc>
        <w:tc>
          <w:tcPr>
            <w:tcW w:type="dxa" w:w="3231"/>
            <w:tcMar>
              <w:top w:w="90" w:type="dxa"/>
              <w:start w:w="110" w:type="dxa"/>
              <w:bottom w:w="90" w:type="dxa"/>
              <w:end w:w="110" w:type="dxa"/>
            </w:tcMar>
            <w:vAlign w:val="center"/>
          </w:tcPr>
          <w:p>
            <w:pPr>
              <w:spacing w:after="0"/>
            </w:pPr>
            <w:r>
              <w:rPr>
                <w:sz w:val="17"/>
              </w:rPr>
              <w:t>Treat as the equipment fragility requirement, not a universal default.</w:t>
            </w:r>
          </w:p>
        </w:tc>
      </w:tr>
      <w:tr>
        <w:trPr>
          <w:trHeight w:hRule="atLeast"/>
        </w:trPr>
        <w:tc>
          <w:tcPr>
            <w:tcW w:type="dxa" w:w="2268"/>
            <w:shd w:fill="F6F8FA"/>
            <w:tcMar>
              <w:top w:w="90" w:type="dxa"/>
              <w:start w:w="110" w:type="dxa"/>
              <w:bottom w:w="90" w:type="dxa"/>
              <w:end w:w="110" w:type="dxa"/>
            </w:tcMar>
            <w:vAlign w:val="center"/>
          </w:tcPr>
          <w:p>
            <w:pPr>
              <w:spacing w:after="0"/>
            </w:pPr>
            <w:r>
              <w:rPr>
                <w:sz w:val="17"/>
              </w:rPr>
              <w:t>Pulse profile</w:t>
            </w:r>
          </w:p>
        </w:tc>
        <w:tc>
          <w:tcPr>
            <w:tcW w:type="dxa" w:w="3969"/>
            <w:shd w:fill="F6F8FA"/>
            <w:tcMar>
              <w:top w:w="90" w:type="dxa"/>
              <w:start w:w="110" w:type="dxa"/>
              <w:bottom w:w="90" w:type="dxa"/>
              <w:end w:w="110" w:type="dxa"/>
            </w:tcMar>
            <w:vAlign w:val="center"/>
          </w:tcPr>
          <w:p>
            <w:pPr>
              <w:spacing w:after="0"/>
            </w:pPr>
            <w:r>
              <w:rPr>
                <w:sz w:val="17"/>
              </w:rPr>
              <w:t>Saw-tooth or half-sine idealization used to calculate impact velocity.</w:t>
            </w:r>
          </w:p>
        </w:tc>
        <w:tc>
          <w:tcPr>
            <w:tcW w:type="dxa" w:w="3231"/>
            <w:shd w:fill="F6F8FA"/>
            <w:tcMar>
              <w:top w:w="90" w:type="dxa"/>
              <w:start w:w="110" w:type="dxa"/>
              <w:bottom w:w="90" w:type="dxa"/>
              <w:end w:w="110" w:type="dxa"/>
            </w:tcMar>
            <w:vAlign w:val="center"/>
          </w:tcPr>
          <w:p>
            <w:pPr>
              <w:spacing w:after="0"/>
            </w:pPr>
            <w:r>
              <w:rPr>
                <w:sz w:val="17"/>
              </w:rPr>
              <w:t>Match the requirement or supplier model.</w:t>
            </w:r>
          </w:p>
        </w:tc>
      </w:tr>
    </w:tbl>
    <w:tbl>
      <w:tblPr>
        <w:tblW w:type="auto" w:w="0"/>
        <w:tblLayout w:type="fixed"/>
        <w:tblLook w:firstColumn="1" w:firstRow="1" w:lastColumn="0" w:lastRow="0" w:noHBand="0" w:noVBand="1" w:val="04A0"/>
      </w:tblPr>
      <w:tblGrid>
        <w:gridCol w:w="142"/>
        <w:gridCol w:w="9354"/>
      </w:tblGrid>
      <w:tr>
        <w:trPr>
          <w:tblHeader w:val="true"/>
        </w:trPr>
        <w:tc>
          <w:tcPr>
            <w:tcW w:type="dxa" w:w="4876"/>
            <w:shd w:fill="B36B00"/>
            <w:tcMar>
              <w:top w:w="0" w:type="dxa"/>
              <w:start w:w="0" w:type="dxa"/>
              <w:bottom w:w="0" w:type="dxa"/>
              <w:end w:w="0" w:type="dxa"/>
            </w:tcMar>
          </w:tcPr>
          <w:p/>
        </w:tc>
        <w:tc>
          <w:tcPr>
            <w:tcW w:type="dxa" w:w="4876"/>
            <w:shd w:fill="FFF4DC"/>
            <w:tcMar>
              <w:top w:w="120" w:type="dxa"/>
              <w:start w:w="150" w:type="dxa"/>
              <w:bottom w:w="120" w:type="dxa"/>
              <w:end w:w="150" w:type="dxa"/>
            </w:tcMar>
            <w:vAlign w:val="center"/>
          </w:tcPr>
          <w:p>
            <w:pPr>
              <w:spacing w:after="60"/>
            </w:pPr>
            <w:r>
              <w:rPr>
                <w:b/>
                <w:color w:val="B36B00"/>
              </w:rPr>
              <w:t>Shock and vibration are different</w:t>
            </w:r>
          </w:p>
          <w:p>
            <w:pPr>
              <w:spacing w:after="0"/>
            </w:pPr>
            <w:r>
              <w:t>Passing the shock pulse does not prove random-vibration compliance. The road-vibration panel is a separate screening calculation and still requires an approved profile and evidence.</w:t>
            </w:r>
          </w:p>
        </w:tc>
      </w:tr>
    </w:tbl>
    <w:p>
      <w:pPr>
        <w:pStyle w:val="Heading2"/>
        <w:keepNext/>
        <w:keepLines/>
      </w:pPr>
      <w:r>
        <w:t>2.8 Step 8 - Enter installation clearance</w:t>
      </w:r>
    </w:p>
    <w:p>
      <w:pPr>
        <w:pStyle w:val="BodyText"/>
      </w:pPr>
      <w:r>
        <w:t>X, Y and Z clearances are hard pass/fail gates. A zero value means that the corresponding clearance is ignored, not that zero movement is allowed. Before the final run, the tab can show a movement hint based on a no-clearance candidate. The hint helps the engineer estimate required space; it is not the final result.</w:t>
      </w:r>
    </w:p>
    <w:p>
      <w:pPr>
        <w:pStyle w:val="ListBullet"/>
      </w:pPr>
      <w:r>
        <w:t>Clearance is the available gap to neighbouring structure or equipment.</w:t>
      </w:r>
    </w:p>
    <w:p>
      <w:pPr>
        <w:pStyle w:val="ListBullet"/>
      </w:pPr>
      <w:r>
        <w:t>Rated travel is the isolator's own permitted movement.</w:t>
      </w:r>
    </w:p>
    <w:p>
      <w:pPr>
        <w:pStyle w:val="ListBullet"/>
      </w:pPr>
      <w:r>
        <w:t>The valid limit is the more restrictive applicable constraint.</w:t>
      </w:r>
    </w:p>
    <w:p>
      <w:pPr>
        <w:pStyle w:val="Heading2"/>
        <w:keepNext/>
        <w:keepLines/>
      </w:pPr>
      <w:r>
        <w:t>2.9 Step 9 - Run the calculation</w:t>
      </w:r>
    </w:p>
    <w:p>
      <w:pPr>
        <w:pStyle w:val="BodyText"/>
      </w:pPr>
      <w:r>
        <w:t>Select best isolator runs the catalog recommendation. Run analysis verifies a selected part. Run custom analysis normalizes the vendor row and uses the same four-case engine. The result is stored with an analysis key derived from the inputs.</w:t>
      </w:r>
    </w:p>
    <w:p>
      <w:pPr>
        <w:pStyle w:val="Heading2"/>
        <w:keepNext/>
        <w:keepLines/>
      </w:pPr>
      <w:r>
        <w:t>2.10 Step 10 - Respond to stale-result warnings</w:t>
      </w:r>
    </w:p>
    <w:p>
      <w:pPr>
        <w:pStyle w:val="BodyText"/>
      </w:pPr>
      <w:r>
        <w:t>If an input changes after calculation, the visible result is marked stale. Context actions, supplier-pack generation and explanatory visuals are disabled or warned until the engineer updates or clears the result. This prevents an old PASS result from being discussed as if it belonged to the new mass, pulse or mount arrangement.</w:t>
      </w:r>
    </w:p>
    <w:p>
      <w:pPr>
        <w:pStyle w:val="Heading2"/>
        <w:keepNext/>
        <w:keepLines/>
      </w:pPr>
      <w:r>
        <w:t>2.11 Step 11 - Read the result summary</w:t>
      </w:r>
    </w:p>
    <w:tbl>
      <w:tblPr>
        <w:tblStyle w:val="TableGrid"/>
        <w:tblW w:type="auto" w:w="0"/>
        <w:tblLayout w:type="fixed"/>
        <w:tblLook w:firstColumn="1" w:firstRow="1" w:lastColumn="0" w:lastRow="0" w:noHBand="0" w:noVBand="1" w:val="04A0"/>
      </w:tblPr>
      <w:tblGrid>
        <w:gridCol w:w="4876"/>
        <w:gridCol w:w="4876"/>
      </w:tblGrid>
      <w:tr>
        <w:trPr>
          <w:trHeight w:hRule="atLeast"/>
          <w:tblHeader w:val="true"/>
        </w:trPr>
        <w:tc>
          <w:tcPr>
            <w:tcW w:type="dxa" w:w="2551"/>
            <w:shd w:fill="16324F"/>
            <w:tcMar>
              <w:top w:w="90" w:type="dxa"/>
              <w:start w:w="110" w:type="dxa"/>
              <w:bottom w:w="90" w:type="dxa"/>
              <w:end w:w="110" w:type="dxa"/>
            </w:tcMar>
            <w:vAlign w:val="center"/>
          </w:tcPr>
          <w:p>
            <w:pPr>
              <w:spacing w:after="0"/>
            </w:pPr>
            <w:r>
              <w:rPr>
                <w:b/>
                <w:color w:val="FFFFFF"/>
                <w:sz w:val="17"/>
              </w:rPr>
              <w:t>Result item</w:t>
            </w:r>
          </w:p>
        </w:tc>
        <w:tc>
          <w:tcPr>
            <w:tcW w:type="dxa" w:w="6917"/>
            <w:shd w:fill="16324F"/>
            <w:tcMar>
              <w:top w:w="90" w:type="dxa"/>
              <w:start w:w="110" w:type="dxa"/>
              <w:bottom w:w="90" w:type="dxa"/>
              <w:end w:w="110" w:type="dxa"/>
            </w:tcMar>
            <w:vAlign w:val="center"/>
          </w:tcPr>
          <w:p>
            <w:pPr>
              <w:spacing w:after="0"/>
            </w:pPr>
            <w:r>
              <w:rPr>
                <w:b/>
                <w:color w:val="FFFFFF"/>
                <w:sz w:val="17"/>
              </w:rPr>
              <w:t>How to interpret it</w:t>
            </w:r>
          </w:p>
        </w:tc>
      </w:tr>
      <w:tr>
        <w:trPr>
          <w:trHeight w:hRule="atLeast"/>
        </w:trPr>
        <w:tc>
          <w:tcPr>
            <w:tcW w:type="dxa" w:w="2551"/>
            <w:tcMar>
              <w:top w:w="90" w:type="dxa"/>
              <w:start w:w="110" w:type="dxa"/>
              <w:bottom w:w="90" w:type="dxa"/>
              <w:end w:w="110" w:type="dxa"/>
            </w:tcMar>
            <w:vAlign w:val="center"/>
          </w:tcPr>
          <w:p>
            <w:pPr>
              <w:spacing w:after="0"/>
            </w:pPr>
            <w:r>
              <w:rPr>
                <w:sz w:val="17"/>
              </w:rPr>
              <w:t>Recommended part</w:t>
            </w:r>
          </w:p>
        </w:tc>
        <w:tc>
          <w:tcPr>
            <w:tcW w:type="dxa" w:w="6917"/>
            <w:tcMar>
              <w:top w:w="90" w:type="dxa"/>
              <w:start w:w="110" w:type="dxa"/>
              <w:bottom w:w="90" w:type="dxa"/>
              <w:end w:w="110" w:type="dxa"/>
            </w:tcMar>
            <w:vAlign w:val="center"/>
          </w:tcPr>
          <w:p>
            <w:pPr>
              <w:spacing w:after="0"/>
            </w:pPr>
            <w:r>
              <w:rPr>
                <w:sz w:val="17"/>
              </w:rPr>
              <w:t>First valid catalog candidate under the selected objective and scope.</w:t>
            </w:r>
          </w:p>
        </w:tc>
      </w:tr>
      <w:tr>
        <w:trPr>
          <w:trHeight w:hRule="atLeast"/>
        </w:trPr>
        <w:tc>
          <w:tcPr>
            <w:tcW w:type="dxa" w:w="2551"/>
            <w:shd w:fill="F6F8FA"/>
            <w:tcMar>
              <w:top w:w="90" w:type="dxa"/>
              <w:start w:w="110" w:type="dxa"/>
              <w:bottom w:w="90" w:type="dxa"/>
              <w:end w:w="110" w:type="dxa"/>
            </w:tcMar>
            <w:vAlign w:val="center"/>
          </w:tcPr>
          <w:p>
            <w:pPr>
              <w:spacing w:after="0"/>
            </w:pPr>
            <w:r>
              <w:rPr>
                <w:sz w:val="17"/>
              </w:rPr>
              <w:t>Closest-to-fail check</w:t>
            </w:r>
          </w:p>
        </w:tc>
        <w:tc>
          <w:tcPr>
            <w:tcW w:type="dxa" w:w="6917"/>
            <w:shd w:fill="F6F8FA"/>
            <w:tcMar>
              <w:top w:w="90" w:type="dxa"/>
              <w:start w:w="110" w:type="dxa"/>
              <w:bottom w:w="90" w:type="dxa"/>
              <w:end w:w="110" w:type="dxa"/>
            </w:tcMar>
            <w:vAlign w:val="center"/>
          </w:tcPr>
          <w:p>
            <w:pPr>
              <w:spacing w:after="0"/>
            </w:pPr>
            <w:r>
              <w:rPr>
                <w:sz w:val="17"/>
              </w:rPr>
              <w:t>Highest utilization among the implemented constraints; closest to 100% is governing.</w:t>
            </w:r>
          </w:p>
        </w:tc>
      </w:tr>
      <w:tr>
        <w:trPr>
          <w:trHeight w:hRule="atLeast"/>
        </w:trPr>
        <w:tc>
          <w:tcPr>
            <w:tcW w:type="dxa" w:w="2551"/>
            <w:tcMar>
              <w:top w:w="90" w:type="dxa"/>
              <w:start w:w="110" w:type="dxa"/>
              <w:bottom w:w="90" w:type="dxa"/>
              <w:end w:w="110" w:type="dxa"/>
            </w:tcMar>
            <w:vAlign w:val="center"/>
          </w:tcPr>
          <w:p>
            <w:pPr>
              <w:spacing w:after="0"/>
            </w:pPr>
            <w:r>
              <w:rPr>
                <w:sz w:val="17"/>
              </w:rPr>
              <w:t>Worst transmitted shock</w:t>
            </w:r>
          </w:p>
        </w:tc>
        <w:tc>
          <w:tcPr>
            <w:tcW w:type="dxa" w:w="6917"/>
            <w:tcMar>
              <w:top w:w="90" w:type="dxa"/>
              <w:start w:w="110" w:type="dxa"/>
              <w:bottom w:w="90" w:type="dxa"/>
              <w:end w:w="110" w:type="dxa"/>
            </w:tcMar>
            <w:vAlign w:val="center"/>
          </w:tcPr>
          <w:p>
            <w:pPr>
              <w:spacing w:after="0"/>
            </w:pPr>
            <w:r>
              <w:rPr>
                <w:sz w:val="17"/>
              </w:rPr>
              <w:t>Largest GT relative to the entered transmitted-G limit.</w:t>
            </w:r>
          </w:p>
        </w:tc>
      </w:tr>
      <w:tr>
        <w:trPr>
          <w:trHeight w:hRule="atLeast"/>
        </w:trPr>
        <w:tc>
          <w:tcPr>
            <w:tcW w:type="dxa" w:w="2551"/>
            <w:shd w:fill="F6F8FA"/>
            <w:tcMar>
              <w:top w:w="90" w:type="dxa"/>
              <w:start w:w="110" w:type="dxa"/>
              <w:bottom w:w="90" w:type="dxa"/>
              <w:end w:w="110" w:type="dxa"/>
            </w:tcMar>
            <w:vAlign w:val="center"/>
          </w:tcPr>
          <w:p>
            <w:pPr>
              <w:spacing w:after="0"/>
            </w:pPr>
            <w:r>
              <w:rPr>
                <w:sz w:val="17"/>
              </w:rPr>
              <w:t>Worst movement</w:t>
            </w:r>
          </w:p>
        </w:tc>
        <w:tc>
          <w:tcPr>
            <w:tcW w:type="dxa" w:w="6917"/>
            <w:shd w:fill="F6F8FA"/>
            <w:tcMar>
              <w:top w:w="90" w:type="dxa"/>
              <w:start w:w="110" w:type="dxa"/>
              <w:bottom w:w="90" w:type="dxa"/>
              <w:end w:w="110" w:type="dxa"/>
            </w:tcMar>
            <w:vAlign w:val="center"/>
          </w:tcPr>
          <w:p>
            <w:pPr>
              <w:spacing w:after="0"/>
            </w:pPr>
            <w:r>
              <w:rPr>
                <w:sz w:val="17"/>
              </w:rPr>
              <w:t>Largest calculated displacement relative to catalog travel or entered clearance.</w:t>
            </w:r>
          </w:p>
        </w:tc>
      </w:tr>
      <w:tr>
        <w:trPr>
          <w:trHeight w:hRule="atLeast"/>
        </w:trPr>
        <w:tc>
          <w:tcPr>
            <w:tcW w:type="dxa" w:w="2551"/>
            <w:tcMar>
              <w:top w:w="90" w:type="dxa"/>
              <w:start w:w="110" w:type="dxa"/>
              <w:bottom w:w="90" w:type="dxa"/>
              <w:end w:w="110" w:type="dxa"/>
            </w:tcMar>
            <w:vAlign w:val="center"/>
          </w:tcPr>
          <w:p>
            <w:pPr>
              <w:spacing w:after="0"/>
            </w:pPr>
            <w:r>
              <w:rPr>
                <w:sz w:val="17"/>
              </w:rPr>
              <w:t>Static load per mount</w:t>
            </w:r>
          </w:p>
        </w:tc>
        <w:tc>
          <w:tcPr>
            <w:tcW w:type="dxa" w:w="6917"/>
            <w:tcMar>
              <w:top w:w="90" w:type="dxa"/>
              <w:start w:w="110" w:type="dxa"/>
              <w:bottom w:w="90" w:type="dxa"/>
              <w:end w:w="110" w:type="dxa"/>
            </w:tcMar>
            <w:vAlign w:val="center"/>
          </w:tcPr>
          <w:p>
            <w:pPr>
              <w:spacing w:after="0"/>
            </w:pPr>
            <w:r>
              <w:rPr>
                <w:sz w:val="17"/>
              </w:rPr>
              <w:t>Bottom-mount static load compared with the catalog rating when available.</w:t>
            </w:r>
          </w:p>
        </w:tc>
      </w:tr>
      <w:tr>
        <w:trPr>
          <w:trHeight w:hRule="atLeast"/>
        </w:trPr>
        <w:tc>
          <w:tcPr>
            <w:tcW w:type="dxa" w:w="2551"/>
            <w:shd w:fill="F6F8FA"/>
            <w:tcMar>
              <w:top w:w="90" w:type="dxa"/>
              <w:start w:w="110" w:type="dxa"/>
              <w:bottom w:w="90" w:type="dxa"/>
              <w:end w:w="110" w:type="dxa"/>
            </w:tcMar>
            <w:vAlign w:val="center"/>
          </w:tcPr>
          <w:p>
            <w:pPr>
              <w:spacing w:after="0"/>
            </w:pPr>
            <w:r>
              <w:rPr>
                <w:sz w:val="17"/>
              </w:rPr>
              <w:t>Review next</w:t>
            </w:r>
          </w:p>
        </w:tc>
        <w:tc>
          <w:tcPr>
            <w:tcW w:type="dxa" w:w="6917"/>
            <w:shd w:fill="F6F8FA"/>
            <w:tcMar>
              <w:top w:w="90" w:type="dxa"/>
              <w:start w:w="110" w:type="dxa"/>
              <w:bottom w:w="90" w:type="dxa"/>
              <w:end w:w="110" w:type="dxa"/>
            </w:tcMar>
            <w:vAlign w:val="center"/>
          </w:tcPr>
          <w:p>
            <w:pPr>
              <w:spacing w:after="0"/>
            </w:pPr>
            <w:r>
              <w:rPr>
                <w:sz w:val="17"/>
              </w:rPr>
              <w:t>Explicit supplier, geometry, vibration or evidence items that remain open.</w:t>
            </w:r>
          </w:p>
        </w:tc>
      </w:tr>
    </w:tbl>
    <w:p>
      <w:pPr>
        <w:pStyle w:val="Heading2"/>
        <w:keepNext/>
        <w:keepLines/>
      </w:pPr>
      <w:r>
        <w:t>2.12 Step 12 - Review the four load cases</w:t>
      </w:r>
    </w:p>
    <w:p>
      <w:pPr>
        <w:pStyle w:val="BodyText"/>
      </w:pPr>
      <w:r>
        <w:t>All four cases must pass. Each row shows the mass per isolator, natural frequency, transmitted shock, movement, limit, utilization and binding constraint. The Binding column identifies the constraint closest to failure in that row.</w:t>
      </w:r>
    </w:p>
    <w:tbl>
      <w:tblPr>
        <w:tblStyle w:val="TableGrid"/>
        <w:tblW w:type="auto" w:w="0"/>
        <w:tblLayout w:type="fixed"/>
        <w:tblLook w:firstColumn="1" w:firstRow="1" w:lastColumn="0" w:lastRow="0" w:noHBand="0" w:noVBand="1" w:val="04A0"/>
      </w:tblPr>
      <w:tblGrid>
        <w:gridCol w:w="2438"/>
        <w:gridCol w:w="2438"/>
        <w:gridCol w:w="2438"/>
        <w:gridCol w:w="2438"/>
      </w:tblGrid>
      <w:tr>
        <w:trPr>
          <w:trHeight w:hRule="atLeast"/>
          <w:tblHeader w:val="true"/>
        </w:trPr>
        <w:tc>
          <w:tcPr>
            <w:tcW w:type="dxa" w:w="2268"/>
            <w:shd w:fill="16324F"/>
            <w:tcMar>
              <w:top w:w="90" w:type="dxa"/>
              <w:start w:w="110" w:type="dxa"/>
              <w:bottom w:w="90" w:type="dxa"/>
              <w:end w:w="110" w:type="dxa"/>
            </w:tcMar>
            <w:vAlign w:val="center"/>
          </w:tcPr>
          <w:p>
            <w:pPr>
              <w:spacing w:after="0"/>
            </w:pPr>
            <w:r>
              <w:rPr>
                <w:b/>
                <w:color w:val="FFFFFF"/>
                <w:sz w:val="17"/>
              </w:rPr>
              <w:t>Case</w:t>
            </w:r>
          </w:p>
        </w:tc>
        <w:tc>
          <w:tcPr>
            <w:tcW w:type="dxa" w:w="1814"/>
            <w:shd w:fill="16324F"/>
            <w:tcMar>
              <w:top w:w="90" w:type="dxa"/>
              <w:start w:w="110" w:type="dxa"/>
              <w:bottom w:w="90" w:type="dxa"/>
              <w:end w:w="110" w:type="dxa"/>
            </w:tcMar>
            <w:vAlign w:val="center"/>
          </w:tcPr>
          <w:p>
            <w:pPr>
              <w:spacing w:after="0"/>
            </w:pPr>
            <w:r>
              <w:rPr>
                <w:b/>
                <w:color w:val="FFFFFF"/>
                <w:sz w:val="17"/>
              </w:rPr>
              <w:t>Direction</w:t>
            </w:r>
          </w:p>
        </w:tc>
        <w:tc>
          <w:tcPr>
            <w:tcW w:type="dxa" w:w="1814"/>
            <w:shd w:fill="16324F"/>
            <w:tcMar>
              <w:top w:w="90" w:type="dxa"/>
              <w:start w:w="110" w:type="dxa"/>
              <w:bottom w:w="90" w:type="dxa"/>
              <w:end w:w="110" w:type="dxa"/>
            </w:tcMar>
            <w:vAlign w:val="center"/>
          </w:tcPr>
          <w:p>
            <w:pPr>
              <w:spacing w:after="0"/>
            </w:pPr>
            <w:r>
              <w:rPr>
                <w:b/>
                <w:color w:val="FFFFFF"/>
                <w:sz w:val="17"/>
              </w:rPr>
              <w:t>Mass rule</w:t>
            </w:r>
          </w:p>
        </w:tc>
        <w:tc>
          <w:tcPr>
            <w:tcW w:type="dxa" w:w="3572"/>
            <w:shd w:fill="16324F"/>
            <w:tcMar>
              <w:top w:w="90" w:type="dxa"/>
              <w:start w:w="110" w:type="dxa"/>
              <w:bottom w:w="90" w:type="dxa"/>
              <w:end w:w="110" w:type="dxa"/>
            </w:tcMar>
            <w:vAlign w:val="center"/>
          </w:tcPr>
          <w:p>
            <w:pPr>
              <w:spacing w:after="0"/>
            </w:pPr>
            <w:r>
              <w:rPr>
                <w:b/>
                <w:color w:val="FFFFFF"/>
                <w:sz w:val="17"/>
              </w:rPr>
              <w:t>Why it is reviewed</w:t>
            </w:r>
          </w:p>
        </w:tc>
      </w:tr>
      <w:tr>
        <w:trPr>
          <w:trHeight w:hRule="atLeast"/>
        </w:trPr>
        <w:tc>
          <w:tcPr>
            <w:tcW w:type="dxa" w:w="2268"/>
            <w:tcMar>
              <w:top w:w="90" w:type="dxa"/>
              <w:start w:w="110" w:type="dxa"/>
              <w:bottom w:w="90" w:type="dxa"/>
              <w:end w:w="110" w:type="dxa"/>
            </w:tcMar>
            <w:vAlign w:val="center"/>
          </w:tcPr>
          <w:p>
            <w:pPr>
              <w:spacing w:after="0"/>
            </w:pPr>
            <w:r>
              <w:rPr>
                <w:sz w:val="17"/>
              </w:rPr>
              <w:t>Compression - bottom</w:t>
            </w:r>
          </w:p>
        </w:tc>
        <w:tc>
          <w:tcPr>
            <w:tcW w:type="dxa" w:w="1814"/>
            <w:tcMar>
              <w:top w:w="90" w:type="dxa"/>
              <w:start w:w="110" w:type="dxa"/>
              <w:bottom w:w="90" w:type="dxa"/>
              <w:end w:w="110" w:type="dxa"/>
            </w:tcMar>
            <w:vAlign w:val="center"/>
          </w:tcPr>
          <w:p>
            <w:pPr>
              <w:spacing w:after="0"/>
            </w:pPr>
            <w:r>
              <w:rPr>
                <w:sz w:val="17"/>
              </w:rPr>
              <w:t>Vertical</w:t>
            </w:r>
          </w:p>
        </w:tc>
        <w:tc>
          <w:tcPr>
            <w:tcW w:type="dxa" w:w="1814"/>
            <w:tcMar>
              <w:top w:w="90" w:type="dxa"/>
              <w:start w:w="110" w:type="dxa"/>
              <w:bottom w:w="90" w:type="dxa"/>
              <w:end w:w="110" w:type="dxa"/>
            </w:tcMar>
            <w:vAlign w:val="center"/>
          </w:tcPr>
          <w:p>
            <w:pPr>
              <w:spacing w:after="0"/>
            </w:pPr>
            <w:r>
              <w:rPr>
                <w:sz w:val="17"/>
              </w:rPr>
              <w:t>M / n_bottom</w:t>
            </w:r>
          </w:p>
        </w:tc>
        <w:tc>
          <w:tcPr>
            <w:tcW w:type="dxa" w:w="3572"/>
            <w:tcMar>
              <w:top w:w="90" w:type="dxa"/>
              <w:start w:w="110" w:type="dxa"/>
              <w:bottom w:w="90" w:type="dxa"/>
              <w:end w:w="110" w:type="dxa"/>
            </w:tcMar>
            <w:vAlign w:val="center"/>
          </w:tcPr>
          <w:p>
            <w:pPr>
              <w:spacing w:after="0"/>
            </w:pPr>
            <w:r>
              <w:rPr>
                <w:sz w:val="17"/>
              </w:rPr>
              <w:t>Primary static and vertical shock condition.</w:t>
            </w:r>
          </w:p>
        </w:tc>
      </w:tr>
      <w:tr>
        <w:trPr>
          <w:trHeight w:hRule="atLeast"/>
        </w:trPr>
        <w:tc>
          <w:tcPr>
            <w:tcW w:type="dxa" w:w="2268"/>
            <w:shd w:fill="F6F8FA"/>
            <w:tcMar>
              <w:top w:w="90" w:type="dxa"/>
              <w:start w:w="110" w:type="dxa"/>
              <w:bottom w:w="90" w:type="dxa"/>
              <w:end w:w="110" w:type="dxa"/>
            </w:tcMar>
            <w:vAlign w:val="center"/>
          </w:tcPr>
          <w:p>
            <w:pPr>
              <w:spacing w:after="0"/>
            </w:pPr>
            <w:r>
              <w:rPr>
                <w:sz w:val="17"/>
              </w:rPr>
              <w:t>Compression - wall</w:t>
            </w:r>
          </w:p>
        </w:tc>
        <w:tc>
          <w:tcPr>
            <w:tcW w:type="dxa" w:w="1814"/>
            <w:shd w:fill="F6F8FA"/>
            <w:tcMar>
              <w:top w:w="90" w:type="dxa"/>
              <w:start w:w="110" w:type="dxa"/>
              <w:bottom w:w="90" w:type="dxa"/>
              <w:end w:w="110" w:type="dxa"/>
            </w:tcMar>
            <w:vAlign w:val="center"/>
          </w:tcPr>
          <w:p>
            <w:pPr>
              <w:spacing w:after="0"/>
            </w:pPr>
            <w:r>
              <w:rPr>
                <w:sz w:val="17"/>
              </w:rPr>
              <w:t>Lateral</w:t>
            </w:r>
          </w:p>
        </w:tc>
        <w:tc>
          <w:tcPr>
            <w:tcW w:type="dxa" w:w="1814"/>
            <w:shd w:fill="F6F8FA"/>
            <w:tcMar>
              <w:top w:w="90" w:type="dxa"/>
              <w:start w:w="110" w:type="dxa"/>
              <w:bottom w:w="90" w:type="dxa"/>
              <w:end w:w="110" w:type="dxa"/>
            </w:tcMar>
            <w:vAlign w:val="center"/>
          </w:tcPr>
          <w:p>
            <w:pPr>
              <w:spacing w:after="0"/>
            </w:pPr>
            <w:r>
              <w:rPr>
                <w:sz w:val="17"/>
              </w:rPr>
              <w:t>M / n_wall / 2</w:t>
            </w:r>
          </w:p>
        </w:tc>
        <w:tc>
          <w:tcPr>
            <w:tcW w:type="dxa" w:w="3572"/>
            <w:shd w:fill="F6F8FA"/>
            <w:tcMar>
              <w:top w:w="90" w:type="dxa"/>
              <w:start w:w="110" w:type="dxa"/>
              <w:bottom w:w="90" w:type="dxa"/>
              <w:end w:w="110" w:type="dxa"/>
            </w:tcMar>
            <w:vAlign w:val="center"/>
          </w:tcPr>
          <w:p>
            <w:pPr>
              <w:spacing w:after="0"/>
            </w:pPr>
            <w:r>
              <w:rPr>
                <w:sz w:val="17"/>
              </w:rPr>
              <w:t>Wall-mount compression condition.</w:t>
            </w:r>
          </w:p>
        </w:tc>
      </w:tr>
      <w:tr>
        <w:trPr>
          <w:trHeight w:hRule="atLeast"/>
        </w:trPr>
        <w:tc>
          <w:tcPr>
            <w:tcW w:type="dxa" w:w="2268"/>
            <w:tcMar>
              <w:top w:w="90" w:type="dxa"/>
              <w:start w:w="110" w:type="dxa"/>
              <w:bottom w:w="90" w:type="dxa"/>
              <w:end w:w="110" w:type="dxa"/>
            </w:tcMar>
            <w:vAlign w:val="center"/>
          </w:tcPr>
          <w:p>
            <w:pPr>
              <w:spacing w:after="0"/>
            </w:pPr>
            <w:r>
              <w:rPr>
                <w:sz w:val="17"/>
              </w:rPr>
              <w:t>Roll - wall</w:t>
            </w:r>
          </w:p>
        </w:tc>
        <w:tc>
          <w:tcPr>
            <w:tcW w:type="dxa" w:w="1814"/>
            <w:tcMar>
              <w:top w:w="90" w:type="dxa"/>
              <w:start w:w="110" w:type="dxa"/>
              <w:bottom w:w="90" w:type="dxa"/>
              <w:end w:w="110" w:type="dxa"/>
            </w:tcMar>
            <w:vAlign w:val="center"/>
          </w:tcPr>
          <w:p>
            <w:pPr>
              <w:spacing w:after="0"/>
            </w:pPr>
            <w:r>
              <w:rPr>
                <w:sz w:val="17"/>
              </w:rPr>
              <w:t>Lateral roll</w:t>
            </w:r>
          </w:p>
        </w:tc>
        <w:tc>
          <w:tcPr>
            <w:tcW w:type="dxa" w:w="1814"/>
            <w:tcMar>
              <w:top w:w="90" w:type="dxa"/>
              <w:start w:w="110" w:type="dxa"/>
              <w:bottom w:w="90" w:type="dxa"/>
              <w:end w:w="110" w:type="dxa"/>
            </w:tcMar>
            <w:vAlign w:val="center"/>
          </w:tcPr>
          <w:p>
            <w:pPr>
              <w:spacing w:after="0"/>
            </w:pPr>
            <w:r>
              <w:rPr>
                <w:sz w:val="17"/>
              </w:rPr>
              <w:t>M / n_wall / 2</w:t>
            </w:r>
          </w:p>
        </w:tc>
        <w:tc>
          <w:tcPr>
            <w:tcW w:type="dxa" w:w="3572"/>
            <w:tcMar>
              <w:top w:w="90" w:type="dxa"/>
              <w:start w:w="110" w:type="dxa"/>
              <w:bottom w:w="90" w:type="dxa"/>
              <w:end w:w="110" w:type="dxa"/>
            </w:tcMar>
            <w:vAlign w:val="center"/>
          </w:tcPr>
          <w:p>
            <w:pPr>
              <w:spacing w:after="0"/>
            </w:pPr>
            <w:r>
              <w:rPr>
                <w:sz w:val="17"/>
              </w:rPr>
              <w:t>Wall-mount response under the implemented roll sharing rule.</w:t>
            </w:r>
          </w:p>
        </w:tc>
      </w:tr>
      <w:tr>
        <w:trPr>
          <w:trHeight w:hRule="atLeast"/>
        </w:trPr>
        <w:tc>
          <w:tcPr>
            <w:tcW w:type="dxa" w:w="2268"/>
            <w:shd w:fill="F6F8FA"/>
            <w:tcMar>
              <w:top w:w="90" w:type="dxa"/>
              <w:start w:w="110" w:type="dxa"/>
              <w:bottom w:w="90" w:type="dxa"/>
              <w:end w:w="110" w:type="dxa"/>
            </w:tcMar>
            <w:vAlign w:val="center"/>
          </w:tcPr>
          <w:p>
            <w:pPr>
              <w:spacing w:after="0"/>
            </w:pPr>
            <w:r>
              <w:rPr>
                <w:sz w:val="17"/>
              </w:rPr>
              <w:t>Roll - bottom</w:t>
            </w:r>
          </w:p>
        </w:tc>
        <w:tc>
          <w:tcPr>
            <w:tcW w:type="dxa" w:w="1814"/>
            <w:shd w:fill="F6F8FA"/>
            <w:tcMar>
              <w:top w:w="90" w:type="dxa"/>
              <w:start w:w="110" w:type="dxa"/>
              <w:bottom w:w="90" w:type="dxa"/>
              <w:end w:w="110" w:type="dxa"/>
            </w:tcMar>
            <w:vAlign w:val="center"/>
          </w:tcPr>
          <w:p>
            <w:pPr>
              <w:spacing w:after="0"/>
            </w:pPr>
            <w:r>
              <w:rPr>
                <w:sz w:val="17"/>
              </w:rPr>
              <w:t>Vertical roll component</w:t>
            </w:r>
          </w:p>
        </w:tc>
        <w:tc>
          <w:tcPr>
            <w:tcW w:type="dxa" w:w="1814"/>
            <w:shd w:fill="F6F8FA"/>
            <w:tcMar>
              <w:top w:w="90" w:type="dxa"/>
              <w:start w:w="110" w:type="dxa"/>
              <w:bottom w:w="90" w:type="dxa"/>
              <w:end w:w="110" w:type="dxa"/>
            </w:tcMar>
            <w:vAlign w:val="center"/>
          </w:tcPr>
          <w:p>
            <w:pPr>
              <w:spacing w:after="0"/>
            </w:pPr>
            <w:r>
              <w:rPr>
                <w:sz w:val="17"/>
              </w:rPr>
              <w:t>M / n_bottom / 2</w:t>
            </w:r>
          </w:p>
        </w:tc>
        <w:tc>
          <w:tcPr>
            <w:tcW w:type="dxa" w:w="3572"/>
            <w:shd w:fill="F6F8FA"/>
            <w:tcMar>
              <w:top w:w="90" w:type="dxa"/>
              <w:start w:w="110" w:type="dxa"/>
              <w:bottom w:w="90" w:type="dxa"/>
              <w:end w:w="110" w:type="dxa"/>
            </w:tcMar>
            <w:vAlign w:val="center"/>
          </w:tcPr>
          <w:p>
            <w:pPr>
              <w:spacing w:after="0"/>
            </w:pPr>
            <w:r>
              <w:rPr>
                <w:sz w:val="17"/>
              </w:rPr>
              <w:t>Bottom-mount response under roll.</w:t>
            </w:r>
          </w:p>
        </w:tc>
      </w:tr>
    </w:tbl>
    <w:p>
      <w:pPr>
        <w:pStyle w:val="Heading2"/>
        <w:keepNext/>
        <w:keepLines/>
      </w:pPr>
      <w:r>
        <w:t>2.13 Step 13 - Inspect layout and movement envelope</w:t>
      </w:r>
    </w:p>
    <w:p>
      <w:pPr>
        <w:pStyle w:val="BodyText"/>
      </w:pPr>
      <w:r>
        <w:t>The deterministic Plotly view shows the enclosure, bottom mounts, wall mounts, calculated dynamic movement and entered clearance envelope. It is useful for explaining the proposed arrangement and spotting obvious interference. It does not calculate bracket stress, exact fastener load paths, local structural deformation or supplier mounting details.</w:t>
      </w:r>
    </w:p>
    <w:p>
      <w:pPr>
        <w:pStyle w:val="Heading2"/>
        <w:keepNext/>
        <w:keepLines/>
      </w:pPr>
      <w:r>
        <w:t>2.14 Step 14 - Review road-vibration screening</w:t>
      </w:r>
    </w:p>
    <w:p>
      <w:pPr>
        <w:pStyle w:val="BodyText"/>
      </w:pPr>
      <w:r>
        <w:t>When catalog vibration stiffness is available, the panel estimates natural frequency and continuous-vibration transfer ratio. A transfer ratio below 1.0 indicates attenuation; above 1.0 indicates amplification. This is a screening indication only. Qualification requires the correct random-vibration spectrum, duration, axis, operating state and acceptance criteria.</w:t>
      </w:r>
    </w:p>
    <w:p>
      <w:pPr>
        <w:pStyle w:val="Heading2"/>
        <w:keepNext/>
        <w:keepLines/>
      </w:pPr>
      <w:r>
        <w:t>2.15 Step 15 - Open detailed calculations and comparisons</w:t>
      </w:r>
    </w:p>
    <w:p>
      <w:pPr>
        <w:pStyle w:val="BodyText"/>
      </w:pPr>
      <w:r>
        <w:t>The catalog comparison shows why alternatives passed or failed. The full physics report exposes the numerical calculation for review and traceability. These outputs are useful when checking an Excel calculation, discussing the result with a supplier or investigating a governing constraint.</w:t>
      </w:r>
    </w:p>
    <w:p>
      <w:pPr>
        <w:pStyle w:val="Heading2"/>
        <w:keepNext/>
        <w:keepLines/>
      </w:pPr>
      <w:r>
        <w:t>2.16 Step 16 - Ask about the current result</w:t>
      </w:r>
    </w:p>
    <w:p>
      <w:pPr>
        <w:pStyle w:val="BodyText"/>
      </w:pPr>
      <w:r>
        <w:t>Four contextual actions queue a question through the existing shock assistant: explain the result, explain why the part was selected, compare alternatives and identify next checks. The same assistant and visible chat history are reused. The current analysis snapshot is attached automatically only when the result is current.</w:t>
      </w:r>
    </w:p>
    <w:p>
      <w:pPr>
        <w:spacing w:after="0"/>
        <w:jc w:val="center"/>
      </w:pPr>
      <w:r>
        <w:drawing>
          <wp:inline xmlns:a="http://schemas.openxmlformats.org/drawingml/2006/main" xmlns:pic="http://schemas.openxmlformats.org/drawingml/2006/picture">
            <wp:extent cx="6120000" cy="1388810"/>
            <wp:docPr id="3" name="Picture 3" descr="Figure 3. Integrated shock-isolation assistant inside the Shock Selector workflow." title="Figure 3. Integrated shock-isolation assistant inside the Shock Selector workflow."/>
            <wp:cNvGraphicFramePr>
              <a:graphicFrameLocks noChangeAspect="1"/>
            </wp:cNvGraphicFramePr>
            <a:graphic>
              <a:graphicData uri="http://schemas.openxmlformats.org/drawingml/2006/picture">
                <pic:pic>
                  <pic:nvPicPr>
                    <pic:cNvPr id="0" name="codex-clipboard-518c67dc-b995-4347-b972-737bb38403ea.png"/>
                    <pic:cNvPicPr/>
                  </pic:nvPicPr>
                  <pic:blipFill>
                    <a:blip r:embed="rId13"/>
                    <a:stretch>
                      <a:fillRect/>
                    </a:stretch>
                  </pic:blipFill>
                  <pic:spPr>
                    <a:xfrm>
                      <a:off x="0" y="0"/>
                      <a:ext cx="6120000" cy="1388810"/>
                    </a:xfrm>
                    <a:prstGeom prst="rect"/>
                  </pic:spPr>
                </pic:pic>
              </a:graphicData>
            </a:graphic>
          </wp:inline>
        </w:drawing>
      </w:r>
    </w:p>
    <w:p>
      <w:pPr>
        <w:spacing w:before="60" w:after="160"/>
        <w:jc w:val="center"/>
      </w:pPr>
      <w:r>
        <w:rPr>
          <w:i/>
          <w:color w:val="52616B"/>
          <w:sz w:val="17"/>
        </w:rPr>
        <w:t>Figure 3. Integrated shock-isolation assistant inside the Shock Selector workflow.</w:t>
      </w:r>
    </w:p>
    <w:p>
      <w:pPr>
        <w:pStyle w:val="Heading2"/>
        <w:keepNext/>
        <w:keepLines/>
      </w:pPr>
      <w:r>
        <w:t>2.17 Step 17 - Generate the supplier enquiry pack</w:t>
      </w:r>
    </w:p>
    <w:p>
      <w:pPr>
        <w:pStyle w:val="BodyText"/>
      </w:pPr>
      <w:r>
        <w:t>The supplier pack is generated deterministically from the current analysis. The engineer adds project metadata, centre of gravity, wall-stabilizer height, vibration requirement, equipment operating state, interface requirements, environmental requirements and road-trial status. The output separates known inputs, assumptions, missing requirements and evidence levels instead of presenting every field as approved.</w:t>
      </w:r>
    </w:p>
    <w:p>
      <w:pPr>
        <w:pStyle w:val="ListBullet"/>
      </w:pPr>
      <w:r>
        <w:t>Four load cases and current screening verdict.</w:t>
      </w:r>
    </w:p>
    <w:p>
      <w:pPr>
        <w:pStyle w:val="ListBullet"/>
      </w:pPr>
      <w:r>
        <w:t>Conceptual mount coordinates and installation envelope.</w:t>
      </w:r>
    </w:p>
    <w:p>
      <w:pPr>
        <w:pStyle w:val="ListBullet"/>
      </w:pPr>
      <w:r>
        <w:t>Questions requesting nonlinear curves, per-axis extrema, fasteners, service life and environmental limits.</w:t>
      </w:r>
    </w:p>
    <w:p>
      <w:pPr>
        <w:pStyle w:val="ListBullet"/>
      </w:pPr>
      <w:r>
        <w:t>Supplier response record and road-trial acceptance record.</w:t>
      </w:r>
    </w:p>
    <w:p>
      <w:pPr>
        <w:pStyle w:val="Heading2"/>
        <w:keepNext/>
        <w:keepLines/>
      </w:pPr>
      <w:r>
        <w:t>2.18 Step 18 - Generate an explanatory visual</w:t>
      </w:r>
    </w:p>
    <w:p>
      <w:pPr>
        <w:pStyle w:val="BodyText"/>
      </w:pPr>
      <w:r>
        <w:t>The optional image panel is separate from the text assistant. The engineer chooses the visual purpose, viewpoint, additional visual direction, quality and an optional approved physical reference image. The prompt enforces a wire-rope-isolator concept and prohibits the image from changing the selected part, mount coordinates, calculation or PASS/FAIL result.</w:t>
      </w:r>
    </w:p>
    <w:tbl>
      <w:tblPr>
        <w:tblStyle w:val="TableGrid"/>
        <w:tblW w:type="auto" w:w="0"/>
        <w:tblLayout w:type="fixed"/>
        <w:tblLook w:firstColumn="1" w:firstRow="1" w:lastColumn="0" w:lastRow="0" w:noHBand="0" w:noVBand="1" w:val="04A0"/>
      </w:tblPr>
      <w:tblGrid>
        <w:gridCol w:w="3251"/>
        <w:gridCol w:w="3251"/>
        <w:gridCol w:w="3251"/>
      </w:tblGrid>
      <w:tr>
        <w:trPr>
          <w:trHeight w:hRule="atLeast"/>
          <w:tblHeader w:val="true"/>
        </w:trPr>
        <w:tc>
          <w:tcPr>
            <w:tcW w:type="dxa" w:w="2268"/>
            <w:shd w:fill="16324F"/>
            <w:tcMar>
              <w:top w:w="90" w:type="dxa"/>
              <w:start w:w="110" w:type="dxa"/>
              <w:bottom w:w="90" w:type="dxa"/>
              <w:end w:w="110" w:type="dxa"/>
            </w:tcMar>
            <w:vAlign w:val="center"/>
          </w:tcPr>
          <w:p>
            <w:pPr>
              <w:spacing w:after="0"/>
            </w:pPr>
            <w:r>
              <w:rPr>
                <w:b/>
                <w:color w:val="FFFFFF"/>
                <w:sz w:val="17"/>
              </w:rPr>
              <w:t>Visual purpose</w:t>
            </w:r>
          </w:p>
        </w:tc>
        <w:tc>
          <w:tcPr>
            <w:tcW w:type="dxa" w:w="3628"/>
            <w:shd w:fill="16324F"/>
            <w:tcMar>
              <w:top w:w="90" w:type="dxa"/>
              <w:start w:w="110" w:type="dxa"/>
              <w:bottom w:w="90" w:type="dxa"/>
              <w:end w:w="110" w:type="dxa"/>
            </w:tcMar>
            <w:vAlign w:val="center"/>
          </w:tcPr>
          <w:p>
            <w:pPr>
              <w:spacing w:after="0"/>
            </w:pPr>
            <w:r>
              <w:rPr>
                <w:b/>
                <w:color w:val="FFFFFF"/>
                <w:sz w:val="17"/>
              </w:rPr>
              <w:t>Suitable use</w:t>
            </w:r>
          </w:p>
        </w:tc>
        <w:tc>
          <w:tcPr>
            <w:tcW w:type="dxa" w:w="3572"/>
            <w:shd w:fill="16324F"/>
            <w:tcMar>
              <w:top w:w="90" w:type="dxa"/>
              <w:start w:w="110" w:type="dxa"/>
              <w:bottom w:w="90" w:type="dxa"/>
              <w:end w:w="110" w:type="dxa"/>
            </w:tcMar>
            <w:vAlign w:val="center"/>
          </w:tcPr>
          <w:p>
            <w:pPr>
              <w:spacing w:after="0"/>
            </w:pPr>
            <w:r>
              <w:rPr>
                <w:b/>
                <w:color w:val="FFFFFF"/>
                <w:sz w:val="17"/>
              </w:rPr>
              <w:t>Engineering limitation</w:t>
            </w:r>
          </w:p>
        </w:tc>
      </w:tr>
      <w:tr>
        <w:trPr>
          <w:trHeight w:hRule="atLeast"/>
        </w:trPr>
        <w:tc>
          <w:tcPr>
            <w:tcW w:type="dxa" w:w="2268"/>
            <w:tcMar>
              <w:top w:w="90" w:type="dxa"/>
              <w:start w:w="110" w:type="dxa"/>
              <w:bottom w:w="90" w:type="dxa"/>
              <w:end w:w="110" w:type="dxa"/>
            </w:tcMar>
            <w:vAlign w:val="center"/>
          </w:tcPr>
          <w:p>
            <w:pPr>
              <w:spacing w:after="0"/>
            </w:pPr>
            <w:r>
              <w:rPr>
                <w:sz w:val="17"/>
              </w:rPr>
              <w:t>Shock attenuation</w:t>
            </w:r>
          </w:p>
        </w:tc>
        <w:tc>
          <w:tcPr>
            <w:tcW w:type="dxa" w:w="3628"/>
            <w:tcMar>
              <w:top w:w="90" w:type="dxa"/>
              <w:start w:w="110" w:type="dxa"/>
              <w:bottom w:w="90" w:type="dxa"/>
              <w:end w:w="110" w:type="dxa"/>
            </w:tcMar>
            <w:vAlign w:val="center"/>
          </w:tcPr>
          <w:p>
            <w:pPr>
              <w:spacing w:after="0"/>
            </w:pPr>
            <w:r>
              <w:rPr>
                <w:sz w:val="17"/>
              </w:rPr>
              <w:t>Training explanation of input shock and reduced equipment response.</w:t>
            </w:r>
          </w:p>
        </w:tc>
        <w:tc>
          <w:tcPr>
            <w:tcW w:type="dxa" w:w="3572"/>
            <w:tcMar>
              <w:top w:w="90" w:type="dxa"/>
              <w:start w:w="110" w:type="dxa"/>
              <w:bottom w:w="90" w:type="dxa"/>
              <w:end w:w="110" w:type="dxa"/>
            </w:tcMar>
            <w:vAlign w:val="center"/>
          </w:tcPr>
          <w:p>
            <w:pPr>
              <w:spacing w:after="0"/>
            </w:pPr>
            <w:r>
              <w:rPr>
                <w:sz w:val="17"/>
              </w:rPr>
              <w:t>Not a measured acceleration plot.</w:t>
            </w:r>
          </w:p>
        </w:tc>
      </w:tr>
      <w:tr>
        <w:trPr>
          <w:trHeight w:hRule="atLeast"/>
        </w:trPr>
        <w:tc>
          <w:tcPr>
            <w:tcW w:type="dxa" w:w="2268"/>
            <w:shd w:fill="F6F8FA"/>
            <w:tcMar>
              <w:top w:w="90" w:type="dxa"/>
              <w:start w:w="110" w:type="dxa"/>
              <w:bottom w:w="90" w:type="dxa"/>
              <w:end w:w="110" w:type="dxa"/>
            </w:tcMar>
            <w:vAlign w:val="center"/>
          </w:tcPr>
          <w:p>
            <w:pPr>
              <w:spacing w:after="0"/>
            </w:pPr>
            <w:r>
              <w:rPr>
                <w:sz w:val="17"/>
              </w:rPr>
              <w:t>Mounting arrangement</w:t>
            </w:r>
          </w:p>
        </w:tc>
        <w:tc>
          <w:tcPr>
            <w:tcW w:type="dxa" w:w="3628"/>
            <w:shd w:fill="F6F8FA"/>
            <w:tcMar>
              <w:top w:w="90" w:type="dxa"/>
              <w:start w:w="110" w:type="dxa"/>
              <w:bottom w:w="90" w:type="dxa"/>
              <w:end w:w="110" w:type="dxa"/>
            </w:tcMar>
            <w:vAlign w:val="center"/>
          </w:tcPr>
          <w:p>
            <w:pPr>
              <w:spacing w:after="0"/>
            </w:pPr>
            <w:r>
              <w:rPr>
                <w:sz w:val="17"/>
              </w:rPr>
              <w:t>Communicating bottom and wall stabilizer concepts.</w:t>
            </w:r>
          </w:p>
        </w:tc>
        <w:tc>
          <w:tcPr>
            <w:tcW w:type="dxa" w:w="3572"/>
            <w:shd w:fill="F6F8FA"/>
            <w:tcMar>
              <w:top w:w="90" w:type="dxa"/>
              <w:start w:w="110" w:type="dxa"/>
              <w:bottom w:w="90" w:type="dxa"/>
              <w:end w:w="110" w:type="dxa"/>
            </w:tcMar>
            <w:vAlign w:val="center"/>
          </w:tcPr>
          <w:p>
            <w:pPr>
              <w:spacing w:after="0"/>
            </w:pPr>
            <w:r>
              <w:rPr>
                <w:sz w:val="17"/>
              </w:rPr>
              <w:t>Not a dimensioned installation drawing.</w:t>
            </w:r>
          </w:p>
        </w:tc>
      </w:tr>
      <w:tr>
        <w:trPr>
          <w:trHeight w:hRule="atLeast"/>
        </w:trPr>
        <w:tc>
          <w:tcPr>
            <w:tcW w:type="dxa" w:w="2268"/>
            <w:tcMar>
              <w:top w:w="90" w:type="dxa"/>
              <w:start w:w="110" w:type="dxa"/>
              <w:bottom w:w="90" w:type="dxa"/>
              <w:end w:w="110" w:type="dxa"/>
            </w:tcMar>
            <w:vAlign w:val="center"/>
          </w:tcPr>
          <w:p>
            <w:pPr>
              <w:spacing w:after="0"/>
            </w:pPr>
            <w:r>
              <w:rPr>
                <w:sz w:val="17"/>
              </w:rPr>
              <w:t>Wire-rope mechanism</w:t>
            </w:r>
          </w:p>
        </w:tc>
        <w:tc>
          <w:tcPr>
            <w:tcW w:type="dxa" w:w="3628"/>
            <w:tcMar>
              <w:top w:w="90" w:type="dxa"/>
              <w:start w:w="110" w:type="dxa"/>
              <w:bottom w:w="90" w:type="dxa"/>
              <w:end w:w="110" w:type="dxa"/>
            </w:tcMar>
            <w:vAlign w:val="center"/>
          </w:tcPr>
          <w:p>
            <w:pPr>
              <w:spacing w:after="0"/>
            </w:pPr>
            <w:r>
              <w:rPr>
                <w:sz w:val="17"/>
              </w:rPr>
              <w:t>Showing repeated cable loops and deformation concept.</w:t>
            </w:r>
          </w:p>
        </w:tc>
        <w:tc>
          <w:tcPr>
            <w:tcW w:type="dxa" w:w="3572"/>
            <w:tcMar>
              <w:top w:w="90" w:type="dxa"/>
              <w:start w:w="110" w:type="dxa"/>
              <w:bottom w:w="90" w:type="dxa"/>
              <w:end w:w="110" w:type="dxa"/>
            </w:tcMar>
            <w:vAlign w:val="center"/>
          </w:tcPr>
          <w:p>
            <w:pPr>
              <w:spacing w:after="0"/>
            </w:pPr>
            <w:r>
              <w:rPr>
                <w:sz w:val="17"/>
              </w:rPr>
              <w:t>Not a supplier-approved product representation without a reference image.</w:t>
            </w:r>
          </w:p>
        </w:tc>
      </w:tr>
    </w:tbl>
    <w:p>
      <w:pPr>
        <w:pStyle w:val="Heading2"/>
        <w:keepNext/>
        <w:keepLines/>
      </w:pPr>
      <w:r>
        <w:t>2.19 Step 19 - Use the floating UI guide</w:t>
      </w:r>
    </w:p>
    <w:p>
      <w:pPr>
        <w:pStyle w:val="BodyText"/>
      </w:pPr>
      <w:r>
        <w:t>The floating Shock Selector UI Guide answers how-to questions such as where to start, which inputs are required, when to use Auto or Manual mode, and how to read the Binding column. It is separate from the engineering assistant so product guidance does not compete with engineering calculations.</w:t>
      </w:r>
    </w:p>
    <w:p>
      <w:pPr>
        <w:pStyle w:val="Heading1"/>
        <w:keepNext/>
        <w:keepLines/>
      </w:pPr>
      <w:r>
        <w:t>3. Engineering Calculation Explained</w:t>
      </w:r>
    </w:p>
    <w:p>
      <w:pPr>
        <w:pStyle w:val="Heading2"/>
        <w:keepNext/>
        <w:keepLines/>
      </w:pPr>
      <w:r>
        <w:t>3.1 Calculation chain</w:t>
      </w:r>
    </w:p>
    <w:p>
      <w:pPr>
        <w:pStyle w:val="BodyText"/>
      </w:pPr>
      <w:r>
        <w:t>The implemented calculation follows the validated project reference. The pulse produces an impact velocity. Each candidate's directional stiffness and mass per isolator determine natural frequency. Natural frequency and impact velocity then determine transmitted shock and peak movement.</w:t>
      </w:r>
    </w:p>
    <w:tbl>
      <w:tblPr>
        <w:tblStyle w:val="TableGrid"/>
        <w:tblW w:type="auto" w:w="0"/>
        <w:tblLayout w:type="fixed"/>
        <w:tblLook w:firstColumn="1" w:firstRow="1" w:lastColumn="0" w:lastRow="0" w:noHBand="0" w:noVBand="1" w:val="04A0"/>
      </w:tblPr>
      <w:tblGrid>
        <w:gridCol w:w="3251"/>
        <w:gridCol w:w="3251"/>
        <w:gridCol w:w="3251"/>
      </w:tblGrid>
      <w:tr>
        <w:trPr>
          <w:trHeight w:hRule="atLeast"/>
          <w:tblHeader w:val="true"/>
        </w:trPr>
        <w:tc>
          <w:tcPr>
            <w:tcW w:type="dxa" w:w="2041"/>
            <w:shd w:fill="16324F"/>
            <w:tcMar>
              <w:top w:w="90" w:type="dxa"/>
              <w:start w:w="110" w:type="dxa"/>
              <w:bottom w:w="90" w:type="dxa"/>
              <w:end w:w="110" w:type="dxa"/>
            </w:tcMar>
            <w:vAlign w:val="center"/>
          </w:tcPr>
          <w:p>
            <w:pPr>
              <w:spacing w:after="0"/>
            </w:pPr>
            <w:r>
              <w:rPr>
                <w:b/>
                <w:color w:val="FFFFFF"/>
                <w:sz w:val="17"/>
              </w:rPr>
              <w:t>Quantity</w:t>
            </w:r>
          </w:p>
        </w:tc>
        <w:tc>
          <w:tcPr>
            <w:tcW w:type="dxa" w:w="3628"/>
            <w:shd w:fill="16324F"/>
            <w:tcMar>
              <w:top w:w="90" w:type="dxa"/>
              <w:start w:w="110" w:type="dxa"/>
              <w:bottom w:w="90" w:type="dxa"/>
              <w:end w:w="110" w:type="dxa"/>
            </w:tcMar>
            <w:vAlign w:val="center"/>
          </w:tcPr>
          <w:p>
            <w:pPr>
              <w:spacing w:after="0"/>
            </w:pPr>
            <w:r>
              <w:rPr>
                <w:b/>
                <w:color w:val="FFFFFF"/>
                <w:sz w:val="17"/>
              </w:rPr>
              <w:t>Plain-text equation</w:t>
            </w:r>
          </w:p>
        </w:tc>
        <w:tc>
          <w:tcPr>
            <w:tcW w:type="dxa" w:w="3798"/>
            <w:shd w:fill="16324F"/>
            <w:tcMar>
              <w:top w:w="90" w:type="dxa"/>
              <w:start w:w="110" w:type="dxa"/>
              <w:bottom w:w="90" w:type="dxa"/>
              <w:end w:w="110" w:type="dxa"/>
            </w:tcMar>
            <w:vAlign w:val="center"/>
          </w:tcPr>
          <w:p>
            <w:pPr>
              <w:spacing w:after="0"/>
            </w:pPr>
            <w:r>
              <w:rPr>
                <w:b/>
                <w:color w:val="FFFFFF"/>
                <w:sz w:val="17"/>
              </w:rPr>
              <w:t>Meaning</w:t>
            </w:r>
          </w:p>
        </w:tc>
      </w:tr>
      <w:tr>
        <w:trPr>
          <w:trHeight w:hRule="atLeast"/>
        </w:trPr>
        <w:tc>
          <w:tcPr>
            <w:tcW w:type="dxa" w:w="2041"/>
            <w:tcMar>
              <w:top w:w="90" w:type="dxa"/>
              <w:start w:w="110" w:type="dxa"/>
              <w:bottom w:w="90" w:type="dxa"/>
              <w:end w:w="110" w:type="dxa"/>
            </w:tcMar>
            <w:vAlign w:val="center"/>
          </w:tcPr>
          <w:p>
            <w:pPr>
              <w:spacing w:after="0"/>
            </w:pPr>
            <w:r>
              <w:rPr>
                <w:sz w:val="17"/>
              </w:rPr>
              <w:t>Impact velocity V</w:t>
            </w:r>
          </w:p>
        </w:tc>
        <w:tc>
          <w:tcPr>
            <w:tcW w:type="dxa" w:w="3628"/>
            <w:tcMar>
              <w:top w:w="90" w:type="dxa"/>
              <w:start w:w="110" w:type="dxa"/>
              <w:bottom w:w="90" w:type="dxa"/>
              <w:end w:w="110" w:type="dxa"/>
            </w:tcMar>
            <w:vAlign w:val="center"/>
          </w:tcPr>
          <w:p>
            <w:pPr>
              <w:spacing w:after="0"/>
            </w:pPr>
            <w:r>
              <w:rPr>
                <w:sz w:val="17"/>
              </w:rPr>
              <w:t>Pulse-shape factor x g x Ao x pulse duration</w:t>
            </w:r>
          </w:p>
        </w:tc>
        <w:tc>
          <w:tcPr>
            <w:tcW w:type="dxa" w:w="3798"/>
            <w:tcMar>
              <w:top w:w="90" w:type="dxa"/>
              <w:start w:w="110" w:type="dxa"/>
              <w:bottom w:w="90" w:type="dxa"/>
              <w:end w:w="110" w:type="dxa"/>
            </w:tcMar>
            <w:vAlign w:val="center"/>
          </w:tcPr>
          <w:p>
            <w:pPr>
              <w:spacing w:after="0"/>
            </w:pPr>
            <w:r>
              <w:rPr>
                <w:sz w:val="17"/>
              </w:rPr>
              <w:t>Velocity change represented by the idealized shock pulse.</w:t>
            </w:r>
          </w:p>
        </w:tc>
      </w:tr>
      <w:tr>
        <w:trPr>
          <w:trHeight w:hRule="atLeast"/>
        </w:trPr>
        <w:tc>
          <w:tcPr>
            <w:tcW w:type="dxa" w:w="2041"/>
            <w:shd w:fill="F6F8FA"/>
            <w:tcMar>
              <w:top w:w="90" w:type="dxa"/>
              <w:start w:w="110" w:type="dxa"/>
              <w:bottom w:w="90" w:type="dxa"/>
              <w:end w:w="110" w:type="dxa"/>
            </w:tcMar>
            <w:vAlign w:val="center"/>
          </w:tcPr>
          <w:p>
            <w:pPr>
              <w:spacing w:after="0"/>
            </w:pPr>
            <w:r>
              <w:rPr>
                <w:sz w:val="17"/>
              </w:rPr>
              <w:t>Natural frequency fn</w:t>
            </w:r>
          </w:p>
        </w:tc>
        <w:tc>
          <w:tcPr>
            <w:tcW w:type="dxa" w:w="3628"/>
            <w:shd w:fill="F6F8FA"/>
            <w:tcMar>
              <w:top w:w="90" w:type="dxa"/>
              <w:start w:w="110" w:type="dxa"/>
              <w:bottom w:w="90" w:type="dxa"/>
              <w:end w:w="110" w:type="dxa"/>
            </w:tcMar>
            <w:vAlign w:val="center"/>
          </w:tcPr>
          <w:p>
            <w:pPr>
              <w:spacing w:after="0"/>
            </w:pPr>
            <w:r>
              <w:rPr>
                <w:sz w:val="17"/>
              </w:rPr>
              <w:t>(1 / (2 x pi)) x square root(K / m)</w:t>
            </w:r>
          </w:p>
        </w:tc>
        <w:tc>
          <w:tcPr>
            <w:tcW w:type="dxa" w:w="3798"/>
            <w:shd w:fill="F6F8FA"/>
            <w:tcMar>
              <w:top w:w="90" w:type="dxa"/>
              <w:start w:w="110" w:type="dxa"/>
              <w:bottom w:w="90" w:type="dxa"/>
              <w:end w:w="110" w:type="dxa"/>
            </w:tcMar>
            <w:vAlign w:val="center"/>
          </w:tcPr>
          <w:p>
            <w:pPr>
              <w:spacing w:after="0"/>
            </w:pPr>
            <w:r>
              <w:rPr>
                <w:sz w:val="17"/>
              </w:rPr>
              <w:t>Mounted isolator-system frequency for the case.</w:t>
            </w:r>
          </w:p>
        </w:tc>
      </w:tr>
      <w:tr>
        <w:trPr>
          <w:trHeight w:hRule="atLeast"/>
        </w:trPr>
        <w:tc>
          <w:tcPr>
            <w:tcW w:type="dxa" w:w="2041"/>
            <w:tcMar>
              <w:top w:w="90" w:type="dxa"/>
              <w:start w:w="110" w:type="dxa"/>
              <w:bottom w:w="90" w:type="dxa"/>
              <w:end w:w="110" w:type="dxa"/>
            </w:tcMar>
            <w:vAlign w:val="center"/>
          </w:tcPr>
          <w:p>
            <w:pPr>
              <w:spacing w:after="0"/>
            </w:pPr>
            <w:r>
              <w:rPr>
                <w:sz w:val="17"/>
              </w:rPr>
              <w:t>Transmitted shock GT</w:t>
            </w:r>
          </w:p>
        </w:tc>
        <w:tc>
          <w:tcPr>
            <w:tcW w:type="dxa" w:w="3628"/>
            <w:tcMar>
              <w:top w:w="90" w:type="dxa"/>
              <w:start w:w="110" w:type="dxa"/>
              <w:bottom w:w="90" w:type="dxa"/>
              <w:end w:w="110" w:type="dxa"/>
            </w:tcMar>
            <w:vAlign w:val="center"/>
          </w:tcPr>
          <w:p>
            <w:pPr>
              <w:spacing w:after="0"/>
            </w:pPr>
            <w:r>
              <w:rPr>
                <w:sz w:val="17"/>
              </w:rPr>
              <w:t>(2 x pi x fn x V) / g</w:t>
            </w:r>
          </w:p>
        </w:tc>
        <w:tc>
          <w:tcPr>
            <w:tcW w:type="dxa" w:w="3798"/>
            <w:tcMar>
              <w:top w:w="90" w:type="dxa"/>
              <w:start w:w="110" w:type="dxa"/>
              <w:bottom w:w="90" w:type="dxa"/>
              <w:end w:w="110" w:type="dxa"/>
            </w:tcMar>
            <w:vAlign w:val="center"/>
          </w:tcPr>
          <w:p>
            <w:pPr>
              <w:spacing w:after="0"/>
            </w:pPr>
            <w:r>
              <w:rPr>
                <w:sz w:val="17"/>
              </w:rPr>
              <w:t>Acceleration transmitted to the protected equipment.</w:t>
            </w:r>
          </w:p>
        </w:tc>
      </w:tr>
      <w:tr>
        <w:trPr>
          <w:trHeight w:hRule="atLeast"/>
        </w:trPr>
        <w:tc>
          <w:tcPr>
            <w:tcW w:type="dxa" w:w="2041"/>
            <w:shd w:fill="F6F8FA"/>
            <w:tcMar>
              <w:top w:w="90" w:type="dxa"/>
              <w:start w:w="110" w:type="dxa"/>
              <w:bottom w:w="90" w:type="dxa"/>
              <w:end w:w="110" w:type="dxa"/>
            </w:tcMar>
            <w:vAlign w:val="center"/>
          </w:tcPr>
          <w:p>
            <w:pPr>
              <w:spacing w:after="0"/>
            </w:pPr>
            <w:r>
              <w:rPr>
                <w:sz w:val="17"/>
              </w:rPr>
              <w:t>Peak movement</w:t>
            </w:r>
          </w:p>
        </w:tc>
        <w:tc>
          <w:tcPr>
            <w:tcW w:type="dxa" w:w="3628"/>
            <w:shd w:fill="F6F8FA"/>
            <w:tcMar>
              <w:top w:w="90" w:type="dxa"/>
              <w:start w:w="110" w:type="dxa"/>
              <w:bottom w:w="90" w:type="dxa"/>
              <w:end w:w="110" w:type="dxa"/>
            </w:tcMar>
            <w:vAlign w:val="center"/>
          </w:tcPr>
          <w:p>
            <w:pPr>
              <w:spacing w:after="0"/>
            </w:pPr>
            <w:r>
              <w:rPr>
                <w:sz w:val="17"/>
              </w:rPr>
              <w:t>V / (2 x pi x fn)</w:t>
            </w:r>
          </w:p>
        </w:tc>
        <w:tc>
          <w:tcPr>
            <w:tcW w:type="dxa" w:w="3798"/>
            <w:shd w:fill="F6F8FA"/>
            <w:tcMar>
              <w:top w:w="90" w:type="dxa"/>
              <w:start w:w="110" w:type="dxa"/>
              <w:bottom w:w="90" w:type="dxa"/>
              <w:end w:w="110" w:type="dxa"/>
            </w:tcMar>
            <w:vAlign w:val="center"/>
          </w:tcPr>
          <w:p>
            <w:pPr>
              <w:spacing w:after="0"/>
            </w:pPr>
            <w:r>
              <w:rPr>
                <w:sz w:val="17"/>
              </w:rPr>
              <w:t>Calculated isolator displacement demand.</w:t>
            </w:r>
          </w:p>
        </w:tc>
      </w:tr>
    </w:tbl>
    <w:p>
      <w:pPr>
        <w:pStyle w:val="Heading2"/>
        <w:keepNext/>
        <w:keepLines/>
      </w:pPr>
      <w:r>
        <w:t>3.2 Why softer is not always better</w:t>
      </w:r>
    </w:p>
    <w:p>
      <w:pPr>
        <w:pStyle w:val="BodyText"/>
      </w:pPr>
      <w:r>
        <w:t>Lower stiffness reduces natural frequency and therefore reduces transmitted acceleration in this shock model. However, lower natural frequency increases movement. A softer part may therefore fail rated travel or installation clearance even while improving transmitted-G performance. Static rating can also become the governing condition.</w:t>
      </w:r>
    </w:p>
    <w:p>
      <w:pPr>
        <w:pStyle w:val="Heading2"/>
        <w:keepNext/>
        <w:keepLines/>
      </w:pPr>
      <w:r>
        <w:t>3.3 Selection rule</w:t>
      </w:r>
    </w:p>
    <w:p>
      <w:pPr>
        <w:pStyle w:val="BodyText"/>
      </w:pPr>
      <w:r>
        <w:t>The default engineering rule is the softest valid isolator within the selected catalog scope. A candidate is valid only when every implemented load case satisfies transmitted-G, movement, catalog travel, entered clearance and applicable static-load requirements. The objective then ranks candidates that are already valid; it cannot convert a failed part into a pass.</w:t>
      </w:r>
    </w:p>
    <w:p>
      <w:pPr>
        <w:pStyle w:val="Heading2"/>
        <w:keepNext/>
        <w:keepLines/>
      </w:pPr>
      <w:r>
        <w:t>3.4 Validated reference point</w:t>
      </w:r>
    </w:p>
    <w:tbl>
      <w:tblPr>
        <w:tblW w:type="auto" w:w="0"/>
        <w:tblLayout w:type="fixed"/>
        <w:tblLook w:firstColumn="1" w:firstRow="1" w:lastColumn="0" w:lastRow="0" w:noHBand="0" w:noVBand="1" w:val="04A0"/>
      </w:tblPr>
      <w:tblGrid>
        <w:gridCol w:w="142"/>
        <w:gridCol w:w="9354"/>
      </w:tblGrid>
      <w:tr>
        <w:trPr>
          <w:tblHeader w:val="true"/>
        </w:trPr>
        <w:tc>
          <w:tcPr>
            <w:tcW w:type="dxa" w:w="4876"/>
            <w:shd w:fill="2E7D32"/>
            <w:tcMar>
              <w:top w:w="0" w:type="dxa"/>
              <w:start w:w="0" w:type="dxa"/>
              <w:bottom w:w="0" w:type="dxa"/>
              <w:end w:w="0" w:type="dxa"/>
            </w:tcMar>
          </w:tcPr>
          <w:p/>
        </w:tc>
        <w:tc>
          <w:tcPr>
            <w:tcW w:type="dxa" w:w="4876"/>
            <w:shd w:fill="EAF5EA"/>
            <w:tcMar>
              <w:top w:w="120" w:type="dxa"/>
              <w:start w:w="150" w:type="dxa"/>
              <w:bottom w:w="120" w:type="dxa"/>
              <w:end w:w="150" w:type="dxa"/>
            </w:tcMar>
            <w:vAlign w:val="center"/>
          </w:tcPr>
          <w:p>
            <w:pPr>
              <w:spacing w:after="60"/>
            </w:pPr>
            <w:r>
              <w:rPr>
                <w:b/>
                <w:color w:val="2E7D32"/>
              </w:rPr>
              <w:t>Regression anchor</w:t>
            </w:r>
          </w:p>
          <w:p>
            <w:pPr>
              <w:spacing w:after="0"/>
            </w:pPr>
            <w:r>
              <w:t>For the 850 kg, six-bottom and four-wall reference configuration using CB1400-15, the validated calculation reproduces 6.296 G transmitted shock and 18.85 mm movement for the reference condition. Changes to the physics engine are regression-tested against the approved model.</w:t>
            </w:r>
          </w:p>
        </w:tc>
      </w:tr>
    </w:tbl>
    <w:p>
      <w:pPr>
        <w:pStyle w:val="Heading1"/>
        <w:keepNext/>
        <w:keepLines/>
      </w:pPr>
      <w:r>
        <w:t>4. How the AI Assistance Is Controlled</w:t>
      </w:r>
    </w:p>
    <w:p>
      <w:pPr>
        <w:pStyle w:val="Heading2"/>
        <w:keepNext/>
        <w:keepLines/>
      </w:pPr>
      <w:r>
        <w:t>4.1 The LLM is a controller and explainer</w:t>
      </w:r>
    </w:p>
    <w:p>
      <w:pPr>
        <w:pStyle w:val="BodyText"/>
      </w:pPr>
      <w:r>
        <w:t>The model reads the user's request, sees the permitted tool descriptions and returns either a tool call with structured arguments or a natural-language response. When a tool is called, Python validates the arguments, performs the calculation and returns structured result text. The model then explains that result. This prevents the critical numerical answer from being based only on next-token prediction.</w:t>
      </w:r>
    </w:p>
    <w:p>
      <w:pPr>
        <w:pStyle w:val="Heading2"/>
        <w:keepNext/>
        <w:keepLines/>
      </w:pPr>
      <w:r>
        <w:t>4.2 What 'more guided attention' actually means</w:t>
      </w:r>
    </w:p>
    <w:tbl>
      <w:tblPr>
        <w:tblW w:type="auto" w:w="0"/>
        <w:tblLayout w:type="fixed"/>
        <w:tblLook w:firstColumn="1" w:firstRow="1" w:lastColumn="0" w:lastRow="0" w:noHBand="0" w:noVBand="1" w:val="04A0"/>
      </w:tblPr>
      <w:tblGrid>
        <w:gridCol w:w="142"/>
        <w:gridCol w:w="9354"/>
      </w:tblGrid>
      <w:tr>
        <w:trPr>
          <w:tblHeader w:val="true"/>
        </w:trPr>
        <w:tc>
          <w:tcPr>
            <w:tcW w:type="dxa" w:w="4876"/>
            <w:shd w:fill="B36B00"/>
            <w:tcMar>
              <w:top w:w="0" w:type="dxa"/>
              <w:start w:w="0" w:type="dxa"/>
              <w:bottom w:w="0" w:type="dxa"/>
              <w:end w:w="0" w:type="dxa"/>
            </w:tcMar>
          </w:tcPr>
          <w:p/>
        </w:tc>
        <w:tc>
          <w:tcPr>
            <w:tcW w:type="dxa" w:w="4876"/>
            <w:shd w:fill="FFF4DC"/>
            <w:tcMar>
              <w:top w:w="120" w:type="dxa"/>
              <w:start w:w="150" w:type="dxa"/>
              <w:bottom w:w="120" w:type="dxa"/>
              <w:end w:w="150" w:type="dxa"/>
            </w:tcMar>
            <w:vAlign w:val="center"/>
          </w:tcPr>
          <w:p>
            <w:pPr>
              <w:spacing w:after="60"/>
            </w:pPr>
            <w:r>
              <w:rPr>
                <w:b/>
                <w:color w:val="B36B00"/>
              </w:rPr>
              <w:t>Technical correction</w:t>
            </w:r>
          </w:p>
          <w:p>
            <w:pPr>
              <w:spacing w:after="0"/>
            </w:pPr>
            <w:r>
              <w:t>The application does not modify or retrain GPT-5.4 mini's transformer attention layers. The model is guided by controlling what information enters its context and what actions it may take.</w:t>
            </w:r>
          </w:p>
        </w:tc>
      </w:tr>
    </w:tbl>
    <w:tbl>
      <w:tblPr>
        <w:tblStyle w:val="TableGrid"/>
        <w:tblW w:type="auto" w:w="0"/>
        <w:tblLayout w:type="fixed"/>
        <w:tblLook w:firstColumn="1" w:firstRow="1" w:lastColumn="0" w:lastRow="0" w:noHBand="0" w:noVBand="1" w:val="04A0"/>
      </w:tblPr>
      <w:tblGrid>
        <w:gridCol w:w="4876"/>
        <w:gridCol w:w="4876"/>
      </w:tblGrid>
      <w:tr>
        <w:trPr>
          <w:trHeight w:hRule="atLeast"/>
          <w:tblHeader w:val="true"/>
        </w:trPr>
        <w:tc>
          <w:tcPr>
            <w:tcW w:type="dxa" w:w="2835"/>
            <w:shd w:fill="16324F"/>
            <w:tcMar>
              <w:top w:w="90" w:type="dxa"/>
              <w:start w:w="110" w:type="dxa"/>
              <w:bottom w:w="90" w:type="dxa"/>
              <w:end w:w="110" w:type="dxa"/>
            </w:tcMar>
            <w:vAlign w:val="center"/>
          </w:tcPr>
          <w:p>
            <w:pPr>
              <w:spacing w:after="0"/>
            </w:pPr>
            <w:r>
              <w:rPr>
                <w:b/>
                <w:color w:val="FFFFFF"/>
                <w:sz w:val="17"/>
              </w:rPr>
              <w:t>Guidance mechanism</w:t>
            </w:r>
          </w:p>
        </w:tc>
        <w:tc>
          <w:tcPr>
            <w:tcW w:type="dxa" w:w="6633"/>
            <w:shd w:fill="16324F"/>
            <w:tcMar>
              <w:top w:w="90" w:type="dxa"/>
              <w:start w:w="110" w:type="dxa"/>
              <w:bottom w:w="90" w:type="dxa"/>
              <w:end w:w="110" w:type="dxa"/>
            </w:tcMar>
            <w:vAlign w:val="center"/>
          </w:tcPr>
          <w:p>
            <w:pPr>
              <w:spacing w:after="0"/>
            </w:pPr>
            <w:r>
              <w:rPr>
                <w:b/>
                <w:color w:val="FFFFFF"/>
                <w:sz w:val="17"/>
              </w:rPr>
              <w:t>How it narrows the task</w:t>
            </w:r>
          </w:p>
        </w:tc>
      </w:tr>
      <w:tr>
        <w:trPr>
          <w:trHeight w:hRule="atLeast"/>
        </w:trPr>
        <w:tc>
          <w:tcPr>
            <w:tcW w:type="dxa" w:w="2835"/>
            <w:tcMar>
              <w:top w:w="90" w:type="dxa"/>
              <w:start w:w="110" w:type="dxa"/>
              <w:bottom w:w="90" w:type="dxa"/>
              <w:end w:w="110" w:type="dxa"/>
            </w:tcMar>
            <w:vAlign w:val="center"/>
          </w:tcPr>
          <w:p>
            <w:pPr>
              <w:spacing w:after="0"/>
            </w:pPr>
            <w:r>
              <w:rPr>
                <w:sz w:val="17"/>
              </w:rPr>
              <w:t>Domain system prompt</w:t>
            </w:r>
          </w:p>
        </w:tc>
        <w:tc>
          <w:tcPr>
            <w:tcW w:type="dxa" w:w="6633"/>
            <w:tcMar>
              <w:top w:w="90" w:type="dxa"/>
              <w:start w:w="110" w:type="dxa"/>
              <w:bottom w:w="90" w:type="dxa"/>
              <w:end w:w="110" w:type="dxa"/>
            </w:tcMar>
            <w:vAlign w:val="center"/>
          </w:tcPr>
          <w:p>
            <w:pPr>
              <w:spacing w:after="0"/>
            </w:pPr>
            <w:r>
              <w:rPr>
                <w:sz w:val="17"/>
              </w:rPr>
              <w:t>Defines shock-isolation scope, safety rules, missing-input behaviour and evidence boundaries.</w:t>
            </w:r>
          </w:p>
        </w:tc>
      </w:tr>
      <w:tr>
        <w:trPr>
          <w:trHeight w:hRule="atLeast"/>
        </w:trPr>
        <w:tc>
          <w:tcPr>
            <w:tcW w:type="dxa" w:w="2835"/>
            <w:shd w:fill="F6F8FA"/>
            <w:tcMar>
              <w:top w:w="90" w:type="dxa"/>
              <w:start w:w="110" w:type="dxa"/>
              <w:bottom w:w="90" w:type="dxa"/>
              <w:end w:w="110" w:type="dxa"/>
            </w:tcMar>
            <w:vAlign w:val="center"/>
          </w:tcPr>
          <w:p>
            <w:pPr>
              <w:spacing w:after="0"/>
            </w:pPr>
            <w:r>
              <w:rPr>
                <w:sz w:val="17"/>
              </w:rPr>
              <w:t>Tool descriptions and schemas</w:t>
            </w:r>
          </w:p>
        </w:tc>
        <w:tc>
          <w:tcPr>
            <w:tcW w:type="dxa" w:w="6633"/>
            <w:shd w:fill="F6F8FA"/>
            <w:tcMar>
              <w:top w:w="90" w:type="dxa"/>
              <w:start w:w="110" w:type="dxa"/>
              <w:bottom w:w="90" w:type="dxa"/>
              <w:end w:w="110" w:type="dxa"/>
            </w:tcMar>
            <w:vAlign w:val="center"/>
          </w:tcPr>
          <w:p>
            <w:pPr>
              <w:spacing w:after="0"/>
            </w:pPr>
            <w:r>
              <w:rPr>
                <w:sz w:val="17"/>
              </w:rPr>
              <w:t>Present only approved engineering operations and named parameters with units.</w:t>
            </w:r>
          </w:p>
        </w:tc>
      </w:tr>
      <w:tr>
        <w:trPr>
          <w:trHeight w:hRule="atLeast"/>
        </w:trPr>
        <w:tc>
          <w:tcPr>
            <w:tcW w:type="dxa" w:w="2835"/>
            <w:tcMar>
              <w:top w:w="90" w:type="dxa"/>
              <w:start w:w="110" w:type="dxa"/>
              <w:bottom w:w="90" w:type="dxa"/>
              <w:end w:w="110" w:type="dxa"/>
            </w:tcMar>
            <w:vAlign w:val="center"/>
          </w:tcPr>
          <w:p>
            <w:pPr>
              <w:spacing w:after="0"/>
            </w:pPr>
            <w:r>
              <w:rPr>
                <w:sz w:val="17"/>
              </w:rPr>
              <w:t>Structured UI inputs</w:t>
            </w:r>
          </w:p>
        </w:tc>
        <w:tc>
          <w:tcPr>
            <w:tcW w:type="dxa" w:w="6633"/>
            <w:tcMar>
              <w:top w:w="90" w:type="dxa"/>
              <w:start w:w="110" w:type="dxa"/>
              <w:bottom w:w="90" w:type="dxa"/>
              <w:end w:w="110" w:type="dxa"/>
            </w:tcMar>
            <w:vAlign w:val="center"/>
          </w:tcPr>
          <w:p>
            <w:pPr>
              <w:spacing w:after="0"/>
            </w:pPr>
            <w:r>
              <w:rPr>
                <w:sz w:val="17"/>
              </w:rPr>
              <w:t>Provide exact mass, mount count, pulse and clearance instead of relying on prose extraction.</w:t>
            </w:r>
          </w:p>
        </w:tc>
      </w:tr>
      <w:tr>
        <w:trPr>
          <w:trHeight w:hRule="atLeast"/>
        </w:trPr>
        <w:tc>
          <w:tcPr>
            <w:tcW w:type="dxa" w:w="2835"/>
            <w:shd w:fill="F6F8FA"/>
            <w:tcMar>
              <w:top w:w="90" w:type="dxa"/>
              <w:start w:w="110" w:type="dxa"/>
              <w:bottom w:w="90" w:type="dxa"/>
              <w:end w:w="110" w:type="dxa"/>
            </w:tcMar>
            <w:vAlign w:val="center"/>
          </w:tcPr>
          <w:p>
            <w:pPr>
              <w:spacing w:after="0"/>
            </w:pPr>
            <w:r>
              <w:rPr>
                <w:sz w:val="17"/>
              </w:rPr>
              <w:t>Current analysis snapshot</w:t>
            </w:r>
          </w:p>
        </w:tc>
        <w:tc>
          <w:tcPr>
            <w:tcW w:type="dxa" w:w="6633"/>
            <w:shd w:fill="F6F8FA"/>
            <w:tcMar>
              <w:top w:w="90" w:type="dxa"/>
              <w:start w:w="110" w:type="dxa"/>
              <w:bottom w:w="90" w:type="dxa"/>
              <w:end w:w="110" w:type="dxa"/>
            </w:tcMar>
            <w:vAlign w:val="center"/>
          </w:tcPr>
          <w:p>
            <w:pPr>
              <w:spacing w:after="0"/>
            </w:pPr>
            <w:r>
              <w:rPr>
                <w:sz w:val="17"/>
              </w:rPr>
              <w:t>Supplies the selected part, verdict, assumptions and load cases without requiring the user to repeat them.</w:t>
            </w:r>
          </w:p>
        </w:tc>
      </w:tr>
      <w:tr>
        <w:trPr>
          <w:trHeight w:hRule="atLeast"/>
        </w:trPr>
        <w:tc>
          <w:tcPr>
            <w:tcW w:type="dxa" w:w="2835"/>
            <w:tcMar>
              <w:top w:w="90" w:type="dxa"/>
              <w:start w:w="110" w:type="dxa"/>
              <w:bottom w:w="90" w:type="dxa"/>
              <w:end w:w="110" w:type="dxa"/>
            </w:tcMar>
            <w:vAlign w:val="center"/>
          </w:tcPr>
          <w:p>
            <w:pPr>
              <w:spacing w:after="0"/>
            </w:pPr>
            <w:r>
              <w:rPr>
                <w:sz w:val="17"/>
              </w:rPr>
              <w:t>Local RAG top-k</w:t>
            </w:r>
          </w:p>
        </w:tc>
        <w:tc>
          <w:tcPr>
            <w:tcW w:type="dxa" w:w="6633"/>
            <w:tcMar>
              <w:top w:w="90" w:type="dxa"/>
              <w:start w:w="110" w:type="dxa"/>
              <w:bottom w:w="90" w:type="dxa"/>
              <w:end w:w="110" w:type="dxa"/>
            </w:tcMar>
            <w:vAlign w:val="center"/>
          </w:tcPr>
          <w:p>
            <w:pPr>
              <w:spacing w:after="0"/>
            </w:pPr>
            <w:r>
              <w:rPr>
                <w:sz w:val="17"/>
              </w:rPr>
              <w:t>Adds only the closest shock-mount reference chunks when knowledge lookup is required.</w:t>
            </w:r>
          </w:p>
        </w:tc>
      </w:tr>
      <w:tr>
        <w:trPr>
          <w:trHeight w:hRule="atLeast"/>
        </w:trPr>
        <w:tc>
          <w:tcPr>
            <w:tcW w:type="dxa" w:w="2835"/>
            <w:shd w:fill="F6F8FA"/>
            <w:tcMar>
              <w:top w:w="90" w:type="dxa"/>
              <w:start w:w="110" w:type="dxa"/>
              <w:bottom w:w="90" w:type="dxa"/>
              <w:end w:w="110" w:type="dxa"/>
            </w:tcMar>
            <w:vAlign w:val="center"/>
          </w:tcPr>
          <w:p>
            <w:pPr>
              <w:spacing w:after="0"/>
            </w:pPr>
            <w:r>
              <w:rPr>
                <w:sz w:val="17"/>
              </w:rPr>
              <w:t>Short chat history</w:t>
            </w:r>
          </w:p>
        </w:tc>
        <w:tc>
          <w:tcPr>
            <w:tcW w:type="dxa" w:w="6633"/>
            <w:shd w:fill="F6F8FA"/>
            <w:tcMar>
              <w:top w:w="90" w:type="dxa"/>
              <w:start w:w="110" w:type="dxa"/>
              <w:bottom w:w="90" w:type="dxa"/>
              <w:end w:w="110" w:type="dxa"/>
            </w:tcMar>
            <w:vAlign w:val="center"/>
          </w:tcPr>
          <w:p>
            <w:pPr>
              <w:spacing w:after="0"/>
            </w:pPr>
            <w:r>
              <w:rPr>
                <w:sz w:val="17"/>
              </w:rPr>
              <w:t>Limits model input to the last three turns for stateful engineering chat.</w:t>
            </w:r>
          </w:p>
        </w:tc>
      </w:tr>
      <w:tr>
        <w:trPr>
          <w:trHeight w:hRule="atLeast"/>
        </w:trPr>
        <w:tc>
          <w:tcPr>
            <w:tcW w:type="dxa" w:w="2835"/>
            <w:tcMar>
              <w:top w:w="90" w:type="dxa"/>
              <w:start w:w="110" w:type="dxa"/>
              <w:bottom w:w="90" w:type="dxa"/>
              <w:end w:w="110" w:type="dxa"/>
            </w:tcMar>
            <w:vAlign w:val="center"/>
          </w:tcPr>
          <w:p>
            <w:pPr>
              <w:spacing w:after="0"/>
            </w:pPr>
            <w:r>
              <w:rPr>
                <w:sz w:val="17"/>
              </w:rPr>
              <w:t>Stale-state guard</w:t>
            </w:r>
          </w:p>
        </w:tc>
        <w:tc>
          <w:tcPr>
            <w:tcW w:type="dxa" w:w="6633"/>
            <w:tcMar>
              <w:top w:w="90" w:type="dxa"/>
              <w:start w:w="110" w:type="dxa"/>
              <w:bottom w:w="90" w:type="dxa"/>
              <w:end w:w="110" w:type="dxa"/>
            </w:tcMar>
            <w:vAlign w:val="center"/>
          </w:tcPr>
          <w:p>
            <w:pPr>
              <w:spacing w:after="0"/>
            </w:pPr>
            <w:r>
              <w:rPr>
                <w:sz w:val="17"/>
              </w:rPr>
              <w:t>Blocks contextual actions when the visible result no longer matches the inputs.</w:t>
            </w:r>
          </w:p>
        </w:tc>
      </w:tr>
    </w:tbl>
    <w:p>
      <w:pPr>
        <w:pStyle w:val="BodyText"/>
      </w:pPr>
      <w:r>
        <w:t>This controlled-context design can reduce ambiguity and irrelevant information. It does not guarantee correctness, which is why deterministic calculations, citations, response assurance and formal evaluation remain necessary.</w:t>
      </w:r>
    </w:p>
    <w:p>
      <w:pPr>
        <w:pStyle w:val="Heading2"/>
        <w:keepNext/>
        <w:keepLines/>
      </w:pPr>
      <w:r>
        <w:t>4.3 How RAG is used</w:t>
      </w:r>
    </w:p>
    <w:p>
      <w:pPr>
        <w:pStyle w:val="BodyText"/>
      </w:pPr>
      <w:r>
        <w:t>RAG is exposed as a knowledge tool rather than an always-on preprocessing step. When the user asks for standards, workflow, catalog interpretation or vendor evidence, the question is embedded locally with BGE-M3, compared with stored shock-mount vectors, and the top matching passages are returned with source identifiers. Numerical selection questions are handled by engineering tools rather than by retrieving prose.</w:t>
      </w:r>
    </w:p>
    <w:p>
      <w:pPr>
        <w:pStyle w:val="ListNumber"/>
      </w:pPr>
      <w:r>
        <w:t>Convert the information question into a local BGE-M3 query vector.</w:t>
      </w:r>
    </w:p>
    <w:p>
      <w:pPr>
        <w:pStyle w:val="ListNumber"/>
      </w:pPr>
      <w:r>
        <w:t>Compare it with vectors stored for the approved shock-mount knowledge chunks.</w:t>
      </w:r>
    </w:p>
    <w:p>
      <w:pPr>
        <w:pStyle w:val="ListNumber"/>
      </w:pPr>
      <w:r>
        <w:t>Retrieve the top matching passages within the shock_mount topic.</w:t>
      </w:r>
    </w:p>
    <w:p>
      <w:pPr>
        <w:pStyle w:val="ListNumber"/>
      </w:pPr>
      <w:r>
        <w:t>Return passage text and stable chunk identifiers to the language model.</w:t>
      </w:r>
    </w:p>
    <w:p>
      <w:pPr>
        <w:pStyle w:val="ListNumber"/>
      </w:pPr>
      <w:r>
        <w:t>Generate an explanation with citations and evidence-boundary warnings.</w:t>
      </w:r>
    </w:p>
    <w:p>
      <w:pPr>
        <w:pStyle w:val="Heading2"/>
        <w:keepNext/>
        <w:keepLines/>
      </w:pPr>
      <w:r>
        <w:t>4.4 Response assurance and traceability</w:t>
      </w:r>
    </w:p>
    <w:p>
      <w:pPr>
        <w:pStyle w:val="BodyText"/>
      </w:pPr>
      <w:r>
        <w:t>The UI retains visible tool calls and results in the chat transcript. Linked contextual answers can be associated with the analysis ID and snapshot used to create them. Exports can preserve the conversation and tool trace. This makes a response easier to review than a standalone general chat answer, although human approval remains required.</w:t>
      </w:r>
    </w:p>
    <w:p>
      <w:pPr>
        <w:pStyle w:val="Heading1"/>
        <w:keepNext/>
        <w:keepLines/>
      </w:pPr>
      <w:r>
        <w:t>5. Comparison with Microsoft 365 Copilot</w:t>
      </w:r>
    </w:p>
    <w:p>
      <w:pPr>
        <w:pStyle w:val="BodyText"/>
      </w:pPr>
      <w:r>
        <w:t>The fair comparison is between an out-of-the-box Microsoft 365 Copilot subscription and this specialist shock-isolation application. Microsoft Copilot can be extended using Copilot Studio, connectors and agents, but that would be a separate implementation and may introduce metered agent usage. The custom application should not be presented as a replacement for the broad Microsoft 365 product.</w:t>
      </w:r>
    </w:p>
    <w:tbl>
      <w:tblPr>
        <w:tblStyle w:val="TableGrid"/>
        <w:tblW w:type="auto" w:w="0"/>
        <w:tblLayout w:type="fixed"/>
        <w:tblLook w:firstColumn="1" w:firstRow="1" w:lastColumn="0" w:lastRow="0" w:noHBand="0" w:noVBand="1" w:val="04A0"/>
      </w:tblPr>
      <w:tblGrid>
        <w:gridCol w:w="3251"/>
        <w:gridCol w:w="3251"/>
        <w:gridCol w:w="3251"/>
      </w:tblGrid>
      <w:tr>
        <w:trPr>
          <w:trHeight w:hRule="atLeast"/>
          <w:tblHeader w:val="true"/>
        </w:trPr>
        <w:tc>
          <w:tcPr>
            <w:tcW w:type="dxa" w:w="1701"/>
            <w:shd w:fill="16324F"/>
            <w:tcMar>
              <w:top w:w="90" w:type="dxa"/>
              <w:start w:w="110" w:type="dxa"/>
              <w:bottom w:w="90" w:type="dxa"/>
              <w:end w:w="110" w:type="dxa"/>
            </w:tcMar>
            <w:vAlign w:val="center"/>
          </w:tcPr>
          <w:p>
            <w:pPr>
              <w:spacing w:after="0"/>
            </w:pPr>
            <w:r>
              <w:rPr>
                <w:b/>
                <w:color w:val="FFFFFF"/>
                <w:sz w:val="16"/>
              </w:rPr>
              <w:t>Dimension</w:t>
            </w:r>
          </w:p>
        </w:tc>
        <w:tc>
          <w:tcPr>
            <w:tcW w:type="dxa" w:w="3855"/>
            <w:shd w:fill="16324F"/>
            <w:tcMar>
              <w:top w:w="90" w:type="dxa"/>
              <w:start w:w="110" w:type="dxa"/>
              <w:bottom w:w="90" w:type="dxa"/>
              <w:end w:w="110" w:type="dxa"/>
            </w:tcMar>
            <w:vAlign w:val="center"/>
          </w:tcPr>
          <w:p>
            <w:pPr>
              <w:spacing w:after="0"/>
            </w:pPr>
            <w:r>
              <w:rPr>
                <w:b/>
                <w:color w:val="FFFFFF"/>
                <w:sz w:val="16"/>
              </w:rPr>
              <w:t>Shock Selector assistant</w:t>
            </w:r>
          </w:p>
        </w:tc>
        <w:tc>
          <w:tcPr>
            <w:tcW w:type="dxa" w:w="3912"/>
            <w:shd w:fill="16324F"/>
            <w:tcMar>
              <w:top w:w="90" w:type="dxa"/>
              <w:start w:w="110" w:type="dxa"/>
              <w:bottom w:w="90" w:type="dxa"/>
              <w:end w:w="110" w:type="dxa"/>
            </w:tcMar>
            <w:vAlign w:val="center"/>
          </w:tcPr>
          <w:p>
            <w:pPr>
              <w:spacing w:after="0"/>
            </w:pPr>
            <w:r>
              <w:rPr>
                <w:b/>
                <w:color w:val="FFFFFF"/>
                <w:sz w:val="16"/>
              </w:rPr>
              <w:t>Microsoft 365 Copilot</w:t>
            </w:r>
          </w:p>
        </w:tc>
      </w:tr>
      <w:tr>
        <w:trPr>
          <w:trHeight w:hRule="atLeast"/>
        </w:trPr>
        <w:tc>
          <w:tcPr>
            <w:tcW w:type="dxa" w:w="1701"/>
            <w:tcMar>
              <w:top w:w="90" w:type="dxa"/>
              <w:start w:w="110" w:type="dxa"/>
              <w:bottom w:w="90" w:type="dxa"/>
              <w:end w:w="110" w:type="dxa"/>
            </w:tcMar>
            <w:vAlign w:val="center"/>
          </w:tcPr>
          <w:p>
            <w:pPr>
              <w:spacing w:after="0"/>
            </w:pPr>
            <w:r>
              <w:rPr>
                <w:sz w:val="16"/>
              </w:rPr>
              <w:t>Primary purpose</w:t>
            </w:r>
          </w:p>
        </w:tc>
        <w:tc>
          <w:tcPr>
            <w:tcW w:type="dxa" w:w="3855"/>
            <w:tcMar>
              <w:top w:w="90" w:type="dxa"/>
              <w:start w:w="110" w:type="dxa"/>
              <w:bottom w:w="90" w:type="dxa"/>
              <w:end w:w="110" w:type="dxa"/>
            </w:tcMar>
            <w:vAlign w:val="center"/>
          </w:tcPr>
          <w:p>
            <w:pPr>
              <w:spacing w:after="0"/>
            </w:pPr>
            <w:r>
              <w:rPr>
                <w:sz w:val="16"/>
              </w:rPr>
              <w:t>Shock-isolator selection, verification, evidence and supplier handoff.</w:t>
            </w:r>
          </w:p>
        </w:tc>
        <w:tc>
          <w:tcPr>
            <w:tcW w:type="dxa" w:w="3912"/>
            <w:tcMar>
              <w:top w:w="90" w:type="dxa"/>
              <w:start w:w="110" w:type="dxa"/>
              <w:bottom w:w="90" w:type="dxa"/>
              <w:end w:w="110" w:type="dxa"/>
            </w:tcMar>
            <w:vAlign w:val="center"/>
          </w:tcPr>
          <w:p>
            <w:pPr>
              <w:spacing w:after="0"/>
            </w:pPr>
            <w:r>
              <w:rPr>
                <w:sz w:val="16"/>
              </w:rPr>
              <w:t>General productivity across Microsoft 365 and business data.</w:t>
            </w:r>
          </w:p>
        </w:tc>
      </w:tr>
      <w:tr>
        <w:trPr>
          <w:trHeight w:hRule="atLeast"/>
        </w:trPr>
        <w:tc>
          <w:tcPr>
            <w:tcW w:type="dxa" w:w="1701"/>
            <w:shd w:fill="F6F8FA"/>
            <w:tcMar>
              <w:top w:w="90" w:type="dxa"/>
              <w:start w:w="110" w:type="dxa"/>
              <w:bottom w:w="90" w:type="dxa"/>
              <w:end w:w="110" w:type="dxa"/>
            </w:tcMar>
            <w:vAlign w:val="center"/>
          </w:tcPr>
          <w:p>
            <w:pPr>
              <w:spacing w:after="0"/>
            </w:pPr>
            <w:r>
              <w:rPr>
                <w:sz w:val="16"/>
              </w:rPr>
              <w:t>Engineering context</w:t>
            </w:r>
          </w:p>
        </w:tc>
        <w:tc>
          <w:tcPr>
            <w:tcW w:type="dxa" w:w="3855"/>
            <w:shd w:fill="F6F8FA"/>
            <w:tcMar>
              <w:top w:w="90" w:type="dxa"/>
              <w:start w:w="110" w:type="dxa"/>
              <w:bottom w:w="90" w:type="dxa"/>
              <w:end w:w="110" w:type="dxa"/>
            </w:tcMar>
            <w:vAlign w:val="center"/>
          </w:tcPr>
          <w:p>
            <w:pPr>
              <w:spacing w:after="0"/>
            </w:pPr>
            <w:r>
              <w:rPr>
                <w:sz w:val="16"/>
              </w:rPr>
              <w:t>Built-in shock inputs, catalog, tools, current analysis and local corpus.</w:t>
            </w:r>
          </w:p>
        </w:tc>
        <w:tc>
          <w:tcPr>
            <w:tcW w:type="dxa" w:w="3912"/>
            <w:shd w:fill="F6F8FA"/>
            <w:tcMar>
              <w:top w:w="90" w:type="dxa"/>
              <w:start w:w="110" w:type="dxa"/>
              <w:bottom w:w="90" w:type="dxa"/>
              <w:end w:w="110" w:type="dxa"/>
            </w:tcMar>
            <w:vAlign w:val="center"/>
          </w:tcPr>
          <w:p>
            <w:pPr>
              <w:spacing w:after="0"/>
            </w:pPr>
            <w:r>
              <w:rPr>
                <w:sz w:val="16"/>
              </w:rPr>
              <w:t>Requires the user, files or a custom agent to provide shock-specific context.</w:t>
            </w:r>
          </w:p>
        </w:tc>
      </w:tr>
      <w:tr>
        <w:trPr>
          <w:trHeight w:hRule="atLeast"/>
        </w:trPr>
        <w:tc>
          <w:tcPr>
            <w:tcW w:type="dxa" w:w="1701"/>
            <w:tcMar>
              <w:top w:w="90" w:type="dxa"/>
              <w:start w:w="110" w:type="dxa"/>
              <w:bottom w:w="90" w:type="dxa"/>
              <w:end w:w="110" w:type="dxa"/>
            </w:tcMar>
            <w:vAlign w:val="center"/>
          </w:tcPr>
          <w:p>
            <w:pPr>
              <w:spacing w:after="0"/>
            </w:pPr>
            <w:r>
              <w:rPr>
                <w:sz w:val="16"/>
              </w:rPr>
              <w:t>Numerical authority</w:t>
            </w:r>
          </w:p>
        </w:tc>
        <w:tc>
          <w:tcPr>
            <w:tcW w:type="dxa" w:w="3855"/>
            <w:tcMar>
              <w:top w:w="90" w:type="dxa"/>
              <w:start w:w="110" w:type="dxa"/>
              <w:bottom w:w="90" w:type="dxa"/>
              <w:end w:w="110" w:type="dxa"/>
            </w:tcMar>
            <w:vAlign w:val="center"/>
          </w:tcPr>
          <w:p>
            <w:pPr>
              <w:spacing w:after="0"/>
            </w:pPr>
            <w:r>
              <w:rPr>
                <w:sz w:val="16"/>
              </w:rPr>
              <w:t>Deterministic Python returns the implemented calculation and verdict.</w:t>
            </w:r>
          </w:p>
        </w:tc>
        <w:tc>
          <w:tcPr>
            <w:tcW w:type="dxa" w:w="3912"/>
            <w:tcMar>
              <w:top w:w="90" w:type="dxa"/>
              <w:start w:w="110" w:type="dxa"/>
              <w:bottom w:w="90" w:type="dxa"/>
              <w:end w:w="110" w:type="dxa"/>
            </w:tcMar>
            <w:vAlign w:val="center"/>
          </w:tcPr>
          <w:p>
            <w:pPr>
              <w:spacing w:after="0"/>
            </w:pPr>
            <w:r>
              <w:rPr>
                <w:sz w:val="16"/>
              </w:rPr>
              <w:t>General assistant output is not automatically tied to this validated physics engine.</w:t>
            </w:r>
          </w:p>
        </w:tc>
      </w:tr>
      <w:tr>
        <w:trPr>
          <w:trHeight w:hRule="atLeast"/>
        </w:trPr>
        <w:tc>
          <w:tcPr>
            <w:tcW w:type="dxa" w:w="1701"/>
            <w:shd w:fill="F6F8FA"/>
            <w:tcMar>
              <w:top w:w="90" w:type="dxa"/>
              <w:start w:w="110" w:type="dxa"/>
              <w:bottom w:w="90" w:type="dxa"/>
              <w:end w:w="110" w:type="dxa"/>
            </w:tcMar>
            <w:vAlign w:val="center"/>
          </w:tcPr>
          <w:p>
            <w:pPr>
              <w:spacing w:after="0"/>
            </w:pPr>
            <w:r>
              <w:rPr>
                <w:sz w:val="16"/>
              </w:rPr>
              <w:t>Current UI state</w:t>
            </w:r>
          </w:p>
        </w:tc>
        <w:tc>
          <w:tcPr>
            <w:tcW w:type="dxa" w:w="3855"/>
            <w:shd w:fill="F6F8FA"/>
            <w:tcMar>
              <w:top w:w="90" w:type="dxa"/>
              <w:start w:w="110" w:type="dxa"/>
              <w:bottom w:w="90" w:type="dxa"/>
              <w:end w:w="110" w:type="dxa"/>
            </w:tcMar>
            <w:vAlign w:val="center"/>
          </w:tcPr>
          <w:p>
            <w:pPr>
              <w:spacing w:after="0"/>
            </w:pPr>
            <w:r>
              <w:rPr>
                <w:sz w:val="16"/>
              </w:rPr>
              <w:t>Analysis snapshot is passed automatically and blocked when stale.</w:t>
            </w:r>
          </w:p>
        </w:tc>
        <w:tc>
          <w:tcPr>
            <w:tcW w:type="dxa" w:w="3912"/>
            <w:shd w:fill="F6F8FA"/>
            <w:tcMar>
              <w:top w:w="90" w:type="dxa"/>
              <w:start w:w="110" w:type="dxa"/>
              <w:bottom w:w="90" w:type="dxa"/>
              <w:end w:w="110" w:type="dxa"/>
            </w:tcMar>
            <w:vAlign w:val="center"/>
          </w:tcPr>
          <w:p>
            <w:pPr>
              <w:spacing w:after="0"/>
            </w:pPr>
            <w:r>
              <w:rPr>
                <w:sz w:val="16"/>
              </w:rPr>
              <w:t>Does not automatically know this Streamlit tab state without integration.</w:t>
            </w:r>
          </w:p>
        </w:tc>
      </w:tr>
      <w:tr>
        <w:trPr>
          <w:trHeight w:hRule="atLeast"/>
        </w:trPr>
        <w:tc>
          <w:tcPr>
            <w:tcW w:type="dxa" w:w="1701"/>
            <w:tcMar>
              <w:top w:w="90" w:type="dxa"/>
              <w:start w:w="110" w:type="dxa"/>
              <w:bottom w:w="90" w:type="dxa"/>
              <w:end w:w="110" w:type="dxa"/>
            </w:tcMar>
            <w:vAlign w:val="center"/>
          </w:tcPr>
          <w:p>
            <w:pPr>
              <w:spacing w:after="0"/>
            </w:pPr>
            <w:r>
              <w:rPr>
                <w:sz w:val="16"/>
              </w:rPr>
              <w:t>Tool restrictions</w:t>
            </w:r>
          </w:p>
        </w:tc>
        <w:tc>
          <w:tcPr>
            <w:tcW w:type="dxa" w:w="3855"/>
            <w:tcMar>
              <w:top w:w="90" w:type="dxa"/>
              <w:start w:w="110" w:type="dxa"/>
              <w:bottom w:w="90" w:type="dxa"/>
              <w:end w:w="110" w:type="dxa"/>
            </w:tcMar>
            <w:vAlign w:val="center"/>
          </w:tcPr>
          <w:p>
            <w:pPr>
              <w:spacing w:after="0"/>
            </w:pPr>
            <w:r>
              <w:rPr>
                <w:sz w:val="16"/>
              </w:rPr>
              <w:t>Only approved shock/CAD tools and schemas are exposed.</w:t>
            </w:r>
          </w:p>
        </w:tc>
        <w:tc>
          <w:tcPr>
            <w:tcW w:type="dxa" w:w="3912"/>
            <w:tcMar>
              <w:top w:w="90" w:type="dxa"/>
              <w:start w:w="110" w:type="dxa"/>
              <w:bottom w:w="90" w:type="dxa"/>
              <w:end w:w="110" w:type="dxa"/>
            </w:tcMar>
            <w:vAlign w:val="center"/>
          </w:tcPr>
          <w:p>
            <w:pPr>
              <w:spacing w:after="0"/>
            </w:pPr>
            <w:r>
              <w:rPr>
                <w:sz w:val="16"/>
              </w:rPr>
              <w:t>Broad capabilities; domain restrictions depend on configuration.</w:t>
            </w:r>
          </w:p>
        </w:tc>
      </w:tr>
      <w:tr>
        <w:trPr>
          <w:trHeight w:hRule="atLeast"/>
        </w:trPr>
        <w:tc>
          <w:tcPr>
            <w:tcW w:type="dxa" w:w="1701"/>
            <w:shd w:fill="F6F8FA"/>
            <w:tcMar>
              <w:top w:w="90" w:type="dxa"/>
              <w:start w:w="110" w:type="dxa"/>
              <w:bottom w:w="90" w:type="dxa"/>
              <w:end w:w="110" w:type="dxa"/>
            </w:tcMar>
            <w:vAlign w:val="center"/>
          </w:tcPr>
          <w:p>
            <w:pPr>
              <w:spacing w:after="0"/>
            </w:pPr>
            <w:r>
              <w:rPr>
                <w:sz w:val="16"/>
              </w:rPr>
              <w:t>Reference grounding</w:t>
            </w:r>
          </w:p>
        </w:tc>
        <w:tc>
          <w:tcPr>
            <w:tcW w:type="dxa" w:w="3855"/>
            <w:shd w:fill="F6F8FA"/>
            <w:tcMar>
              <w:top w:w="90" w:type="dxa"/>
              <w:start w:w="110" w:type="dxa"/>
              <w:bottom w:w="90" w:type="dxa"/>
              <w:end w:w="110" w:type="dxa"/>
            </w:tcMar>
            <w:vAlign w:val="center"/>
          </w:tcPr>
          <w:p>
            <w:pPr>
              <w:spacing w:after="0"/>
            </w:pPr>
            <w:r>
              <w:rPr>
                <w:sz w:val="16"/>
              </w:rPr>
              <w:t>Local BGE-M3 retrieves bounded shock chunks with source IDs.</w:t>
            </w:r>
          </w:p>
        </w:tc>
        <w:tc>
          <w:tcPr>
            <w:tcW w:type="dxa" w:w="3912"/>
            <w:shd w:fill="F6F8FA"/>
            <w:tcMar>
              <w:top w:w="90" w:type="dxa"/>
              <w:start w:w="110" w:type="dxa"/>
              <w:bottom w:w="90" w:type="dxa"/>
              <w:end w:w="110" w:type="dxa"/>
            </w:tcMar>
            <w:vAlign w:val="center"/>
          </w:tcPr>
          <w:p>
            <w:pPr>
              <w:spacing w:after="0"/>
            </w:pPr>
            <w:r>
              <w:rPr>
                <w:sz w:val="16"/>
              </w:rPr>
              <w:t>Can use web, Microsoft 365 data, files, connectors and custom agents.</w:t>
            </w:r>
          </w:p>
        </w:tc>
      </w:tr>
      <w:tr>
        <w:trPr>
          <w:trHeight w:hRule="atLeast"/>
        </w:trPr>
        <w:tc>
          <w:tcPr>
            <w:tcW w:type="dxa" w:w="1701"/>
            <w:tcMar>
              <w:top w:w="90" w:type="dxa"/>
              <w:start w:w="110" w:type="dxa"/>
              <w:bottom w:w="90" w:type="dxa"/>
              <w:end w:w="110" w:type="dxa"/>
            </w:tcMar>
            <w:vAlign w:val="center"/>
          </w:tcPr>
          <w:p>
            <w:pPr>
              <w:spacing w:after="0"/>
            </w:pPr>
            <w:r>
              <w:rPr>
                <w:sz w:val="16"/>
              </w:rPr>
              <w:t>Traceability</w:t>
            </w:r>
          </w:p>
        </w:tc>
        <w:tc>
          <w:tcPr>
            <w:tcW w:type="dxa" w:w="3855"/>
            <w:tcMar>
              <w:top w:w="90" w:type="dxa"/>
              <w:start w:w="110" w:type="dxa"/>
              <w:bottom w:w="90" w:type="dxa"/>
              <w:end w:w="110" w:type="dxa"/>
            </w:tcMar>
            <w:vAlign w:val="center"/>
          </w:tcPr>
          <w:p>
            <w:pPr>
              <w:spacing w:after="0"/>
            </w:pPr>
            <w:r>
              <w:rPr>
                <w:sz w:val="16"/>
              </w:rPr>
              <w:t>Tool calls, arguments, calculation output, analysis ID and evidence status.</w:t>
            </w:r>
          </w:p>
        </w:tc>
        <w:tc>
          <w:tcPr>
            <w:tcW w:type="dxa" w:w="3912"/>
            <w:tcMar>
              <w:top w:w="90" w:type="dxa"/>
              <w:start w:w="110" w:type="dxa"/>
              <w:bottom w:w="90" w:type="dxa"/>
              <w:end w:w="110" w:type="dxa"/>
            </w:tcMar>
            <w:vAlign w:val="center"/>
          </w:tcPr>
          <w:p>
            <w:pPr>
              <w:spacing w:after="0"/>
            </w:pPr>
            <w:r>
              <w:rPr>
                <w:sz w:val="16"/>
              </w:rPr>
              <w:t>Strong enterprise governance; engineering trace depends on the workflow built around it.</w:t>
            </w:r>
          </w:p>
        </w:tc>
      </w:tr>
      <w:tr>
        <w:trPr>
          <w:trHeight w:hRule="atLeast"/>
        </w:trPr>
        <w:tc>
          <w:tcPr>
            <w:tcW w:type="dxa" w:w="1701"/>
            <w:shd w:fill="F6F8FA"/>
            <w:tcMar>
              <w:top w:w="90" w:type="dxa"/>
              <w:start w:w="110" w:type="dxa"/>
              <w:bottom w:w="90" w:type="dxa"/>
              <w:end w:w="110" w:type="dxa"/>
            </w:tcMar>
            <w:vAlign w:val="center"/>
          </w:tcPr>
          <w:p>
            <w:pPr>
              <w:spacing w:after="0"/>
            </w:pPr>
            <w:r>
              <w:rPr>
                <w:sz w:val="16"/>
              </w:rPr>
              <w:t>Supplier output</w:t>
            </w:r>
          </w:p>
        </w:tc>
        <w:tc>
          <w:tcPr>
            <w:tcW w:type="dxa" w:w="3855"/>
            <w:shd w:fill="F6F8FA"/>
            <w:tcMar>
              <w:top w:w="90" w:type="dxa"/>
              <w:start w:w="110" w:type="dxa"/>
              <w:bottom w:w="90" w:type="dxa"/>
              <w:end w:w="110" w:type="dxa"/>
            </w:tcMar>
            <w:vAlign w:val="center"/>
          </w:tcPr>
          <w:p>
            <w:pPr>
              <w:spacing w:after="0"/>
            </w:pPr>
            <w:r>
              <w:rPr>
                <w:sz w:val="16"/>
              </w:rPr>
              <w:t>Deterministic shock-specific Word enquiry pack and road-trial record.</w:t>
            </w:r>
          </w:p>
        </w:tc>
        <w:tc>
          <w:tcPr>
            <w:tcW w:type="dxa" w:w="3912"/>
            <w:shd w:fill="F6F8FA"/>
            <w:tcMar>
              <w:top w:w="90" w:type="dxa"/>
              <w:start w:w="110" w:type="dxa"/>
              <w:bottom w:w="90" w:type="dxa"/>
              <w:end w:w="110" w:type="dxa"/>
            </w:tcMar>
            <w:vAlign w:val="center"/>
          </w:tcPr>
          <w:p>
            <w:pPr>
              <w:spacing w:after="0"/>
            </w:pPr>
            <w:r>
              <w:rPr>
                <w:sz w:val="16"/>
              </w:rPr>
              <w:t>Can draft documents, but the shock-specific schema must be supplied or built.</w:t>
            </w:r>
          </w:p>
        </w:tc>
      </w:tr>
      <w:tr>
        <w:trPr>
          <w:trHeight w:hRule="atLeast"/>
        </w:trPr>
        <w:tc>
          <w:tcPr>
            <w:tcW w:type="dxa" w:w="1701"/>
            <w:tcMar>
              <w:top w:w="90" w:type="dxa"/>
              <w:start w:w="110" w:type="dxa"/>
              <w:bottom w:w="90" w:type="dxa"/>
              <w:end w:w="110" w:type="dxa"/>
            </w:tcMar>
            <w:vAlign w:val="center"/>
          </w:tcPr>
          <w:p>
            <w:pPr>
              <w:spacing w:after="0"/>
            </w:pPr>
            <w:r>
              <w:rPr>
                <w:sz w:val="16"/>
              </w:rPr>
              <w:t>Image support</w:t>
            </w:r>
          </w:p>
        </w:tc>
        <w:tc>
          <w:tcPr>
            <w:tcW w:type="dxa" w:w="3855"/>
            <w:tcMar>
              <w:top w:w="90" w:type="dxa"/>
              <w:start w:w="110" w:type="dxa"/>
              <w:bottom w:w="90" w:type="dxa"/>
              <w:end w:w="110" w:type="dxa"/>
            </w:tcMar>
            <w:vAlign w:val="center"/>
          </w:tcPr>
          <w:p>
            <w:pPr>
              <w:spacing w:after="0"/>
            </w:pPr>
            <w:r>
              <w:rPr>
                <w:sz w:val="16"/>
              </w:rPr>
              <w:t>Explicit evidence-bounded concept visual separate from calculations.</w:t>
            </w:r>
          </w:p>
        </w:tc>
        <w:tc>
          <w:tcPr>
            <w:tcW w:type="dxa" w:w="3912"/>
            <w:tcMar>
              <w:top w:w="90" w:type="dxa"/>
              <w:start w:w="110" w:type="dxa"/>
              <w:bottom w:w="90" w:type="dxa"/>
              <w:end w:w="110" w:type="dxa"/>
            </w:tcMar>
            <w:vAlign w:val="center"/>
          </w:tcPr>
          <w:p>
            <w:pPr>
              <w:spacing w:after="0"/>
            </w:pPr>
            <w:r>
              <w:rPr>
                <w:sz w:val="16"/>
              </w:rPr>
              <w:t>General content creation; engineering boundary must be prompted or configured.</w:t>
            </w:r>
          </w:p>
        </w:tc>
      </w:tr>
      <w:tr>
        <w:trPr>
          <w:trHeight w:hRule="atLeast"/>
        </w:trPr>
        <w:tc>
          <w:tcPr>
            <w:tcW w:type="dxa" w:w="1701"/>
            <w:shd w:fill="F6F8FA"/>
            <w:tcMar>
              <w:top w:w="90" w:type="dxa"/>
              <w:start w:w="110" w:type="dxa"/>
              <w:bottom w:w="90" w:type="dxa"/>
              <w:end w:w="110" w:type="dxa"/>
            </w:tcMar>
            <w:vAlign w:val="center"/>
          </w:tcPr>
          <w:p>
            <w:pPr>
              <w:spacing w:after="0"/>
            </w:pPr>
            <w:r>
              <w:rPr>
                <w:sz w:val="16"/>
              </w:rPr>
              <w:t>Breadth</w:t>
            </w:r>
          </w:p>
        </w:tc>
        <w:tc>
          <w:tcPr>
            <w:tcW w:type="dxa" w:w="3855"/>
            <w:shd w:fill="F6F8FA"/>
            <w:tcMar>
              <w:top w:w="90" w:type="dxa"/>
              <w:start w:w="110" w:type="dxa"/>
              <w:bottom w:w="90" w:type="dxa"/>
              <w:end w:w="110" w:type="dxa"/>
            </w:tcMar>
            <w:vAlign w:val="center"/>
          </w:tcPr>
          <w:p>
            <w:pPr>
              <w:spacing w:after="0"/>
            </w:pPr>
            <w:r>
              <w:rPr>
                <w:sz w:val="16"/>
              </w:rPr>
              <w:t>Narrow specialist product.</w:t>
            </w:r>
          </w:p>
        </w:tc>
        <w:tc>
          <w:tcPr>
            <w:tcW w:type="dxa" w:w="3912"/>
            <w:shd w:fill="F6F8FA"/>
            <w:tcMar>
              <w:top w:w="90" w:type="dxa"/>
              <w:start w:w="110" w:type="dxa"/>
              <w:bottom w:w="90" w:type="dxa"/>
              <w:end w:w="110" w:type="dxa"/>
            </w:tcMar>
            <w:vAlign w:val="center"/>
          </w:tcPr>
          <w:p>
            <w:pPr>
              <w:spacing w:after="0"/>
            </w:pPr>
            <w:r>
              <w:rPr>
                <w:sz w:val="16"/>
              </w:rPr>
              <w:t>Broad Word, Excel, PowerPoint, Outlook and Teams integration.</w:t>
            </w:r>
          </w:p>
        </w:tc>
      </w:tr>
      <w:tr>
        <w:trPr>
          <w:trHeight w:hRule="atLeast"/>
        </w:trPr>
        <w:tc>
          <w:tcPr>
            <w:tcW w:type="dxa" w:w="1701"/>
            <w:tcMar>
              <w:top w:w="90" w:type="dxa"/>
              <w:start w:w="110" w:type="dxa"/>
              <w:bottom w:w="90" w:type="dxa"/>
              <w:end w:w="110" w:type="dxa"/>
            </w:tcMar>
            <w:vAlign w:val="center"/>
          </w:tcPr>
          <w:p>
            <w:pPr>
              <w:spacing w:after="0"/>
            </w:pPr>
            <w:r>
              <w:rPr>
                <w:sz w:val="16"/>
              </w:rPr>
              <w:t>Commercial model</w:t>
            </w:r>
          </w:p>
        </w:tc>
        <w:tc>
          <w:tcPr>
            <w:tcW w:type="dxa" w:w="3855"/>
            <w:tcMar>
              <w:top w:w="90" w:type="dxa"/>
              <w:start w:w="110" w:type="dxa"/>
              <w:bottom w:w="90" w:type="dxa"/>
              <w:end w:w="110" w:type="dxa"/>
            </w:tcMar>
            <w:vAlign w:val="center"/>
          </w:tcPr>
          <w:p>
            <w:pPr>
              <w:spacing w:after="0"/>
            </w:pPr>
            <w:r>
              <w:rPr>
                <w:sz w:val="16"/>
              </w:rPr>
              <w:t>Usage-based OpenAI tokens plus internal hosting/maintenance.</w:t>
            </w:r>
          </w:p>
        </w:tc>
        <w:tc>
          <w:tcPr>
            <w:tcW w:type="dxa" w:w="3912"/>
            <w:tcMar>
              <w:top w:w="90" w:type="dxa"/>
              <w:start w:w="110" w:type="dxa"/>
              <w:bottom w:w="90" w:type="dxa"/>
              <w:end w:w="110" w:type="dxa"/>
            </w:tcMar>
            <w:vAlign w:val="center"/>
          </w:tcPr>
          <w:p>
            <w:pPr>
              <w:spacing w:after="0"/>
            </w:pPr>
            <w:r>
              <w:rPr>
                <w:sz w:val="16"/>
              </w:rPr>
              <w:t>Per-user license; US$30/user/month paid yearly for the enterprise plan.</w:t>
            </w:r>
          </w:p>
        </w:tc>
      </w:tr>
    </w:tbl>
    <w:p>
      <w:pPr>
        <w:pStyle w:val="Heading2"/>
        <w:keepNext/>
        <w:keepLines/>
      </w:pPr>
      <w:r>
        <w:t>5.1 Where the custom application is stronger</w:t>
      </w:r>
    </w:p>
    <w:p>
      <w:pPr>
        <w:pStyle w:val="ListBullet"/>
      </w:pPr>
      <w:r>
        <w:t>The form captures required engineering variables and units before the model responds.</w:t>
      </w:r>
    </w:p>
    <w:p>
      <w:pPr>
        <w:pStyle w:val="ListBullet"/>
      </w:pPr>
      <w:r>
        <w:t>The same deterministic physics and catalog rules are used in the UI, assistant tools and supplier pack.</w:t>
      </w:r>
    </w:p>
    <w:p>
      <w:pPr>
        <w:pStyle w:val="ListBullet"/>
      </w:pPr>
      <w:r>
        <w:t>A current analysis snapshot gives the assistant exact project context without copy-and-paste.</w:t>
      </w:r>
    </w:p>
    <w:p>
      <w:pPr>
        <w:pStyle w:val="ListBullet"/>
      </w:pPr>
      <w:r>
        <w:t>The model can abstain or ask for missing engineering inputs instead of inventing them.</w:t>
      </w:r>
    </w:p>
    <w:p>
      <w:pPr>
        <w:pStyle w:val="ListBullet"/>
      </w:pPr>
      <w:r>
        <w:t>RAG is limited to curated shock-mount references and retains stable citation identifiers.</w:t>
      </w:r>
    </w:p>
    <w:p>
      <w:pPr>
        <w:pStyle w:val="ListBullet"/>
      </w:pPr>
      <w:r>
        <w:t>The application exposes the governing constraint, load cases and evidence gaps directly.</w:t>
      </w:r>
    </w:p>
    <w:p>
      <w:pPr>
        <w:pStyle w:val="ListBullet"/>
      </w:pPr>
      <w:r>
        <w:t>Usage-based API cost can be substantially lower than purchasing five broad productivity seats when the requirement is only this workflow.</w:t>
      </w:r>
    </w:p>
    <w:p>
      <w:pPr>
        <w:pStyle w:val="Heading2"/>
        <w:keepNext/>
        <w:keepLines/>
      </w:pPr>
      <w:r>
        <w:t>5.2 Where Microsoft Copilot is stronger</w:t>
      </w:r>
    </w:p>
    <w:p>
      <w:pPr>
        <w:pStyle w:val="ListBullet"/>
      </w:pPr>
      <w:r>
        <w:t>Broad integration with Word, Excel, PowerPoint, Outlook and Teams.</w:t>
      </w:r>
    </w:p>
    <w:p>
      <w:pPr>
        <w:pStyle w:val="ListBullet"/>
      </w:pPr>
      <w:r>
        <w:t>Enterprise identity, administration, data protection, compliance and adoption analytics.</w:t>
      </w:r>
    </w:p>
    <w:p>
      <w:pPr>
        <w:pStyle w:val="ListBullet"/>
      </w:pPr>
      <w:r>
        <w:t>Access to wider business data through Microsoft 365 and configured connectors.</w:t>
      </w:r>
    </w:p>
    <w:p>
      <w:pPr>
        <w:pStyle w:val="ListBullet"/>
      </w:pPr>
      <w:r>
        <w:t>Vendor-supported platform operations rather than a project-owned application stack.</w:t>
      </w:r>
    </w:p>
    <w:p>
      <w:pPr>
        <w:pStyle w:val="ListBullet"/>
      </w:pPr>
      <w:r>
        <w:t>Better fit when users need a general assistant for many workflows, not only shock isolation.</w:t>
      </w:r>
    </w:p>
    <w:p>
      <w:pPr>
        <w:pStyle w:val="Heading2"/>
        <w:keepNext/>
        <w:keepLines/>
      </w:pPr>
      <w:r>
        <w:t>5.3 Accuracy claims that are justified</w:t>
      </w:r>
    </w:p>
    <w:p>
      <w:pPr>
        <w:pStyle w:val="BodyText"/>
      </w:pPr>
      <w:r>
        <w:t>The project has formal evidence that deterministic tools and bounded RAG improve the selected local model on the frozen shock benchmark. It does not have a controlled head-to-head benchmark against Microsoft 365 Copilot. Therefore, the defensible claim is that the custom application provides more relevant context, deterministic calculations and traceability for this specific workflow, not that it is universally more intelligent.</w:t>
      </w:r>
    </w:p>
    <w:p>
      <w:pPr>
        <w:spacing w:after="0"/>
        <w:jc w:val="center"/>
      </w:pPr>
      <w:r>
        <w:drawing>
          <wp:inline xmlns:a="http://schemas.openxmlformats.org/drawingml/2006/main" xmlns:pic="http://schemas.openxmlformats.org/drawingml/2006/picture">
            <wp:extent cx="6012000" cy="3687360"/>
            <wp:docPr id="4" name="Picture 4" descr="Figure 4. Frozen architecture evaluation using Qwen3.5 9B, 170 cases and three repeats." title="Figure 4. Frozen architecture evaluation using Qwen3.5 9B, 170 cases and three repeats."/>
            <wp:cNvGraphicFramePr>
              <a:graphicFrameLocks noChangeAspect="1"/>
            </wp:cNvGraphicFramePr>
            <a:graphic>
              <a:graphicData uri="http://schemas.openxmlformats.org/drawingml/2006/picture">
                <pic:pic>
                  <pic:nvPicPr>
                    <pic:cNvPr id="0" name="evaluation.png"/>
                    <pic:cNvPicPr/>
                  </pic:nvPicPr>
                  <pic:blipFill>
                    <a:blip r:embed="rId14"/>
                    <a:stretch>
                      <a:fillRect/>
                    </a:stretch>
                  </pic:blipFill>
                  <pic:spPr>
                    <a:xfrm>
                      <a:off x="0" y="0"/>
                      <a:ext cx="6012000" cy="3687360"/>
                    </a:xfrm>
                    <a:prstGeom prst="rect"/>
                  </pic:spPr>
                </pic:pic>
              </a:graphicData>
            </a:graphic>
          </wp:inline>
        </w:drawing>
      </w:r>
    </w:p>
    <w:p>
      <w:pPr>
        <w:spacing w:before="60" w:after="160"/>
        <w:jc w:val="center"/>
      </w:pPr>
      <w:r>
        <w:rPr>
          <w:i/>
          <w:color w:val="52616B"/>
          <w:sz w:val="17"/>
        </w:rPr>
        <w:t>Figure 4. Frozen architecture evaluation using Qwen3.5 9B, 170 cases and three repeats.</w:t>
      </w:r>
    </w:p>
    <w:tbl>
      <w:tblPr>
        <w:tblStyle w:val="TableGrid"/>
        <w:tblW w:type="auto" w:w="0"/>
        <w:tblLayout w:type="fixed"/>
        <w:tblLook w:firstColumn="1" w:firstRow="1" w:lastColumn="0" w:lastRow="0" w:noHBand="0" w:noVBand="1" w:val="04A0"/>
      </w:tblPr>
      <w:tblGrid>
        <w:gridCol w:w="2438"/>
        <w:gridCol w:w="2438"/>
        <w:gridCol w:w="2438"/>
        <w:gridCol w:w="2438"/>
      </w:tblGrid>
      <w:tr>
        <w:trPr>
          <w:trHeight w:hRule="atLeast"/>
          <w:tblHeader w:val="true"/>
        </w:trPr>
        <w:tc>
          <w:tcPr>
            <w:tcW w:type="dxa" w:w="907"/>
            <w:shd w:fill="16324F"/>
            <w:tcMar>
              <w:top w:w="90" w:type="dxa"/>
              <w:start w:w="110" w:type="dxa"/>
              <w:bottom w:w="90" w:type="dxa"/>
              <w:end w:w="110" w:type="dxa"/>
            </w:tcMar>
            <w:vAlign w:val="center"/>
          </w:tcPr>
          <w:p>
            <w:pPr>
              <w:spacing w:after="0"/>
            </w:pPr>
            <w:r>
              <w:rPr>
                <w:b/>
                <w:color w:val="FFFFFF"/>
                <w:sz w:val="17"/>
              </w:rPr>
              <w:t>System</w:t>
            </w:r>
          </w:p>
        </w:tc>
        <w:tc>
          <w:tcPr>
            <w:tcW w:type="dxa" w:w="4762"/>
            <w:shd w:fill="16324F"/>
            <w:tcMar>
              <w:top w:w="90" w:type="dxa"/>
              <w:start w:w="110" w:type="dxa"/>
              <w:bottom w:w="90" w:type="dxa"/>
              <w:end w:w="110" w:type="dxa"/>
            </w:tcMar>
            <w:vAlign w:val="center"/>
          </w:tcPr>
          <w:p>
            <w:pPr>
              <w:spacing w:after="0"/>
            </w:pPr>
            <w:r>
              <w:rPr>
                <w:b/>
                <w:color w:val="FFFFFF"/>
                <w:sz w:val="17"/>
              </w:rPr>
              <w:t>Configuration</w:t>
            </w:r>
          </w:p>
        </w:tc>
        <w:tc>
          <w:tcPr>
            <w:tcW w:type="dxa" w:w="1928"/>
            <w:shd w:fill="16324F"/>
            <w:tcMar>
              <w:top w:w="90" w:type="dxa"/>
              <w:start w:w="110" w:type="dxa"/>
              <w:bottom w:w="90" w:type="dxa"/>
              <w:end w:w="110" w:type="dxa"/>
            </w:tcMar>
            <w:vAlign w:val="center"/>
          </w:tcPr>
          <w:p>
            <w:pPr>
              <w:spacing w:after="0"/>
            </w:pPr>
            <w:r>
              <w:rPr>
                <w:b/>
                <w:color w:val="FFFFFF"/>
                <w:sz w:val="17"/>
              </w:rPr>
              <w:t>Verdict accuracy</w:t>
            </w:r>
          </w:p>
        </w:tc>
        <w:tc>
          <w:tcPr>
            <w:tcW w:type="dxa" w:w="1871"/>
            <w:shd w:fill="16324F"/>
            <w:tcMar>
              <w:top w:w="90" w:type="dxa"/>
              <w:start w:w="110" w:type="dxa"/>
              <w:bottom w:w="90" w:type="dxa"/>
              <w:end w:w="110" w:type="dxa"/>
            </w:tcMar>
            <w:vAlign w:val="center"/>
          </w:tcPr>
          <w:p>
            <w:pPr>
              <w:spacing w:after="0"/>
            </w:pPr>
            <w:r>
              <w:rPr>
                <w:b/>
                <w:color w:val="FFFFFF"/>
                <w:sz w:val="17"/>
              </w:rPr>
              <w:t>False-safe rate</w:t>
            </w:r>
          </w:p>
        </w:tc>
      </w:tr>
      <w:tr>
        <w:trPr>
          <w:trHeight w:hRule="atLeast"/>
        </w:trPr>
        <w:tc>
          <w:tcPr>
            <w:tcW w:type="dxa" w:w="907"/>
            <w:tcMar>
              <w:top w:w="90" w:type="dxa"/>
              <w:start w:w="110" w:type="dxa"/>
              <w:bottom w:w="90" w:type="dxa"/>
              <w:end w:w="110" w:type="dxa"/>
            </w:tcMar>
            <w:vAlign w:val="center"/>
          </w:tcPr>
          <w:p>
            <w:pPr>
              <w:spacing w:after="0"/>
            </w:pPr>
            <w:r>
              <w:rPr>
                <w:sz w:val="17"/>
              </w:rPr>
              <w:t>B</w:t>
            </w:r>
          </w:p>
        </w:tc>
        <w:tc>
          <w:tcPr>
            <w:tcW w:type="dxa" w:w="4762"/>
            <w:tcMar>
              <w:top w:w="90" w:type="dxa"/>
              <w:start w:w="110" w:type="dxa"/>
              <w:bottom w:w="90" w:type="dxa"/>
              <w:end w:w="110" w:type="dxa"/>
            </w:tcMar>
            <w:vAlign w:val="center"/>
          </w:tcPr>
          <w:p>
            <w:pPr>
              <w:spacing w:after="0"/>
            </w:pPr>
            <w:r>
              <w:rPr>
                <w:sz w:val="17"/>
              </w:rPr>
              <w:t>Qwen3.5 9B only</w:t>
            </w:r>
          </w:p>
        </w:tc>
        <w:tc>
          <w:tcPr>
            <w:tcW w:type="dxa" w:w="1928"/>
            <w:tcMar>
              <w:top w:w="90" w:type="dxa"/>
              <w:start w:w="110" w:type="dxa"/>
              <w:bottom w:w="90" w:type="dxa"/>
              <w:end w:w="110" w:type="dxa"/>
            </w:tcMar>
            <w:vAlign w:val="center"/>
          </w:tcPr>
          <w:p>
            <w:pPr>
              <w:spacing w:after="0"/>
            </w:pPr>
            <w:r>
              <w:rPr>
                <w:sz w:val="17"/>
              </w:rPr>
              <w:t>38.6% (54/140)</w:t>
            </w:r>
          </w:p>
        </w:tc>
        <w:tc>
          <w:tcPr>
            <w:tcW w:type="dxa" w:w="1871"/>
            <w:tcMar>
              <w:top w:w="90" w:type="dxa"/>
              <w:start w:w="110" w:type="dxa"/>
              <w:bottom w:w="90" w:type="dxa"/>
              <w:end w:w="110" w:type="dxa"/>
            </w:tcMar>
            <w:vAlign w:val="center"/>
          </w:tcPr>
          <w:p>
            <w:pPr>
              <w:spacing w:after="0"/>
            </w:pPr>
            <w:r>
              <w:rPr>
                <w:sz w:val="17"/>
              </w:rPr>
              <w:t>13.8% (4/29)</w:t>
            </w:r>
          </w:p>
        </w:tc>
      </w:tr>
      <w:tr>
        <w:trPr>
          <w:trHeight w:hRule="atLeast"/>
        </w:trPr>
        <w:tc>
          <w:tcPr>
            <w:tcW w:type="dxa" w:w="907"/>
            <w:shd w:fill="F6F8FA"/>
            <w:tcMar>
              <w:top w:w="90" w:type="dxa"/>
              <w:start w:w="110" w:type="dxa"/>
              <w:bottom w:w="90" w:type="dxa"/>
              <w:end w:w="110" w:type="dxa"/>
            </w:tcMar>
            <w:vAlign w:val="center"/>
          </w:tcPr>
          <w:p>
            <w:pPr>
              <w:spacing w:after="0"/>
            </w:pPr>
            <w:r>
              <w:rPr>
                <w:sz w:val="17"/>
              </w:rPr>
              <w:t>C</w:t>
            </w:r>
          </w:p>
        </w:tc>
        <w:tc>
          <w:tcPr>
            <w:tcW w:type="dxa" w:w="4762"/>
            <w:shd w:fill="F6F8FA"/>
            <w:tcMar>
              <w:top w:w="90" w:type="dxa"/>
              <w:start w:w="110" w:type="dxa"/>
              <w:bottom w:w="90" w:type="dxa"/>
              <w:end w:w="110" w:type="dxa"/>
            </w:tcMar>
            <w:vAlign w:val="center"/>
          </w:tcPr>
          <w:p>
            <w:pPr>
              <w:spacing w:after="0"/>
            </w:pPr>
            <w:r>
              <w:rPr>
                <w:sz w:val="17"/>
              </w:rPr>
              <w:t>Same model plus deterministic tools</w:t>
            </w:r>
          </w:p>
        </w:tc>
        <w:tc>
          <w:tcPr>
            <w:tcW w:type="dxa" w:w="1928"/>
            <w:shd w:fill="F6F8FA"/>
            <w:tcMar>
              <w:top w:w="90" w:type="dxa"/>
              <w:start w:w="110" w:type="dxa"/>
              <w:bottom w:w="90" w:type="dxa"/>
              <w:end w:w="110" w:type="dxa"/>
            </w:tcMar>
            <w:vAlign w:val="center"/>
          </w:tcPr>
          <w:p>
            <w:pPr>
              <w:spacing w:after="0"/>
            </w:pPr>
            <w:r>
              <w:rPr>
                <w:sz w:val="17"/>
              </w:rPr>
              <w:t>82.1% (115/140)</w:t>
            </w:r>
          </w:p>
        </w:tc>
        <w:tc>
          <w:tcPr>
            <w:tcW w:type="dxa" w:w="1871"/>
            <w:shd w:fill="F6F8FA"/>
            <w:tcMar>
              <w:top w:w="90" w:type="dxa"/>
              <w:start w:w="110" w:type="dxa"/>
              <w:bottom w:w="90" w:type="dxa"/>
              <w:end w:w="110" w:type="dxa"/>
            </w:tcMar>
            <w:vAlign w:val="center"/>
          </w:tcPr>
          <w:p>
            <w:pPr>
              <w:spacing w:after="0"/>
            </w:pPr>
            <w:r>
              <w:rPr>
                <w:sz w:val="17"/>
              </w:rPr>
              <w:t>13.8% (4/29)</w:t>
            </w:r>
          </w:p>
        </w:tc>
      </w:tr>
      <w:tr>
        <w:trPr>
          <w:trHeight w:hRule="atLeast"/>
        </w:trPr>
        <w:tc>
          <w:tcPr>
            <w:tcW w:type="dxa" w:w="907"/>
            <w:tcMar>
              <w:top w:w="90" w:type="dxa"/>
              <w:start w:w="110" w:type="dxa"/>
              <w:bottom w:w="90" w:type="dxa"/>
              <w:end w:w="110" w:type="dxa"/>
            </w:tcMar>
            <w:vAlign w:val="center"/>
          </w:tcPr>
          <w:p>
            <w:pPr>
              <w:spacing w:after="0"/>
            </w:pPr>
            <w:r>
              <w:rPr>
                <w:sz w:val="17"/>
              </w:rPr>
              <w:t>D</w:t>
            </w:r>
          </w:p>
        </w:tc>
        <w:tc>
          <w:tcPr>
            <w:tcW w:type="dxa" w:w="4762"/>
            <w:tcMar>
              <w:top w:w="90" w:type="dxa"/>
              <w:start w:w="110" w:type="dxa"/>
              <w:bottom w:w="90" w:type="dxa"/>
              <w:end w:w="110" w:type="dxa"/>
            </w:tcMar>
            <w:vAlign w:val="center"/>
          </w:tcPr>
          <w:p>
            <w:pPr>
              <w:spacing w:after="0"/>
            </w:pPr>
            <w:r>
              <w:rPr>
                <w:sz w:val="17"/>
              </w:rPr>
              <w:t>Same model plus tools and BGE-M3 RAG</w:t>
            </w:r>
          </w:p>
        </w:tc>
        <w:tc>
          <w:tcPr>
            <w:tcW w:type="dxa" w:w="1928"/>
            <w:tcMar>
              <w:top w:w="90" w:type="dxa"/>
              <w:start w:w="110" w:type="dxa"/>
              <w:bottom w:w="90" w:type="dxa"/>
              <w:end w:w="110" w:type="dxa"/>
            </w:tcMar>
            <w:vAlign w:val="center"/>
          </w:tcPr>
          <w:p>
            <w:pPr>
              <w:spacing w:after="0"/>
            </w:pPr>
            <w:r>
              <w:rPr>
                <w:sz w:val="17"/>
              </w:rPr>
              <w:t>84.3% (118/140)</w:t>
            </w:r>
          </w:p>
        </w:tc>
        <w:tc>
          <w:tcPr>
            <w:tcW w:type="dxa" w:w="1871"/>
            <w:tcMar>
              <w:top w:w="90" w:type="dxa"/>
              <w:start w:w="110" w:type="dxa"/>
              <w:bottom w:w="90" w:type="dxa"/>
              <w:end w:w="110" w:type="dxa"/>
            </w:tcMar>
            <w:vAlign w:val="center"/>
          </w:tcPr>
          <w:p>
            <w:pPr>
              <w:spacing w:after="0"/>
            </w:pPr>
            <w:r>
              <w:rPr>
                <w:sz w:val="17"/>
              </w:rPr>
              <w:t>3.4% (1/29)</w:t>
            </w:r>
          </w:p>
        </w:tc>
      </w:tr>
    </w:tbl>
    <w:p>
      <w:pPr>
        <w:pStyle w:val="BodyText"/>
      </w:pPr>
      <w:r>
        <w:t>The B-to-C improvement was 43.6 percentage points with exact McNemar p &lt; 0.0001. The C-to-D increase was 2.1 points with p = 0.6291, so the overall accuracy increase from RAG was not statistically significant in this benchmark. RAG nevertheless reduced the measured false-safe rate and System D retrieval Hit@3 was 86.7%. These results are screening and software-evaluation evidence, not physical certification. [3]</w:t>
      </w:r>
    </w:p>
    <w:p>
      <w:pPr>
        <w:pStyle w:val="Heading1"/>
        <w:keepNext/>
        <w:keepLines/>
      </w:pPr>
      <w:r>
        <w:t>6. Five-User Cost Comparison</w:t>
      </w:r>
    </w:p>
    <w:tbl>
      <w:tblPr>
        <w:tblW w:type="auto" w:w="0"/>
        <w:tblLayout w:type="fixed"/>
        <w:tblLook w:firstColumn="1" w:firstRow="1" w:lastColumn="0" w:lastRow="0" w:noHBand="0" w:noVBand="1" w:val="04A0"/>
      </w:tblPr>
      <w:tblGrid>
        <w:gridCol w:w="142"/>
        <w:gridCol w:w="9354"/>
      </w:tblGrid>
      <w:tr>
        <w:trPr>
          <w:tblHeader w:val="true"/>
        </w:trPr>
        <w:tc>
          <w:tcPr>
            <w:tcW w:type="dxa" w:w="4876"/>
            <w:shd w:fill="B36B00"/>
            <w:tcMar>
              <w:top w:w="0" w:type="dxa"/>
              <w:start w:w="0" w:type="dxa"/>
              <w:bottom w:w="0" w:type="dxa"/>
              <w:end w:w="0" w:type="dxa"/>
            </w:tcMar>
          </w:tcPr>
          <w:p/>
        </w:tc>
        <w:tc>
          <w:tcPr>
            <w:tcW w:type="dxa" w:w="4876"/>
            <w:shd w:fill="FFF4DC"/>
            <w:tcMar>
              <w:top w:w="120" w:type="dxa"/>
              <w:start w:w="150" w:type="dxa"/>
              <w:bottom w:w="120" w:type="dxa"/>
              <w:end w:w="150" w:type="dxa"/>
            </w:tcMar>
            <w:vAlign w:val="center"/>
          </w:tcPr>
          <w:p>
            <w:pPr>
              <w:spacing w:after="60"/>
            </w:pPr>
            <w:r>
              <w:rPr>
                <w:b/>
                <w:color w:val="B36B00"/>
              </w:rPr>
              <w:t>Cost boundary</w:t>
            </w:r>
          </w:p>
          <w:p>
            <w:pPr>
              <w:spacing w:after="0"/>
            </w:pPr>
            <w:r>
              <w:t>The numbers below compare Microsoft 365 Copilot enterprise seat charges with GPT-5.4 mini chat-token charges. They are not a full total-cost-of-ownership model.</w:t>
            </w:r>
          </w:p>
        </w:tc>
      </w:tr>
    </w:tbl>
    <w:p>
      <w:pPr>
        <w:pStyle w:val="Heading2"/>
        <w:keepNext/>
        <w:keepLines/>
      </w:pPr>
      <w:r>
        <w:t>6.1 Public pricing used</w:t>
      </w:r>
    </w:p>
    <w:tbl>
      <w:tblPr>
        <w:tblStyle w:val="TableGrid"/>
        <w:tblW w:type="auto" w:w="0"/>
        <w:tblLayout w:type="fixed"/>
        <w:tblLook w:firstColumn="1" w:firstRow="1" w:lastColumn="0" w:lastRow="0" w:noHBand="0" w:noVBand="1" w:val="04A0"/>
      </w:tblPr>
      <w:tblGrid>
        <w:gridCol w:w="3251"/>
        <w:gridCol w:w="3251"/>
        <w:gridCol w:w="3251"/>
      </w:tblGrid>
      <w:tr>
        <w:trPr>
          <w:trHeight w:hRule="atLeast"/>
          <w:tblHeader w:val="true"/>
        </w:trPr>
        <w:tc>
          <w:tcPr>
            <w:tcW w:type="dxa" w:w="2494"/>
            <w:shd w:fill="16324F"/>
            <w:tcMar>
              <w:top w:w="90" w:type="dxa"/>
              <w:start w:w="110" w:type="dxa"/>
              <w:bottom w:w="90" w:type="dxa"/>
              <w:end w:w="110" w:type="dxa"/>
            </w:tcMar>
            <w:vAlign w:val="center"/>
          </w:tcPr>
          <w:p>
            <w:pPr>
              <w:spacing w:after="0"/>
            </w:pPr>
            <w:r>
              <w:rPr>
                <w:b/>
                <w:color w:val="FFFFFF"/>
                <w:sz w:val="17"/>
              </w:rPr>
              <w:t>Item</w:t>
            </w:r>
          </w:p>
        </w:tc>
        <w:tc>
          <w:tcPr>
            <w:tcW w:type="dxa" w:w="2381"/>
            <w:shd w:fill="16324F"/>
            <w:tcMar>
              <w:top w:w="90" w:type="dxa"/>
              <w:start w:w="110" w:type="dxa"/>
              <w:bottom w:w="90" w:type="dxa"/>
              <w:end w:w="110" w:type="dxa"/>
            </w:tcMar>
            <w:vAlign w:val="center"/>
          </w:tcPr>
          <w:p>
            <w:pPr>
              <w:spacing w:after="0"/>
            </w:pPr>
            <w:r>
              <w:rPr>
                <w:b/>
                <w:color w:val="FFFFFF"/>
                <w:sz w:val="17"/>
              </w:rPr>
              <w:t>Public price used</w:t>
            </w:r>
          </w:p>
        </w:tc>
        <w:tc>
          <w:tcPr>
            <w:tcW w:type="dxa" w:w="4592"/>
            <w:shd w:fill="16324F"/>
            <w:tcMar>
              <w:top w:w="90" w:type="dxa"/>
              <w:start w:w="110" w:type="dxa"/>
              <w:bottom w:w="90" w:type="dxa"/>
              <w:end w:w="110" w:type="dxa"/>
            </w:tcMar>
            <w:vAlign w:val="center"/>
          </w:tcPr>
          <w:p>
            <w:pPr>
              <w:spacing w:after="0"/>
            </w:pPr>
            <w:r>
              <w:rPr>
                <w:b/>
                <w:color w:val="FFFFFF"/>
                <w:sz w:val="17"/>
              </w:rPr>
              <w:t>Source condition</w:t>
            </w:r>
          </w:p>
        </w:tc>
      </w:tr>
      <w:tr>
        <w:trPr>
          <w:trHeight w:hRule="atLeast"/>
        </w:trPr>
        <w:tc>
          <w:tcPr>
            <w:tcW w:type="dxa" w:w="2494"/>
            <w:tcMar>
              <w:top w:w="90" w:type="dxa"/>
              <w:start w:w="110" w:type="dxa"/>
              <w:bottom w:w="90" w:type="dxa"/>
              <w:end w:w="110" w:type="dxa"/>
            </w:tcMar>
            <w:vAlign w:val="center"/>
          </w:tcPr>
          <w:p>
            <w:pPr>
              <w:spacing w:after="0"/>
            </w:pPr>
            <w:r>
              <w:rPr>
                <w:sz w:val="17"/>
              </w:rPr>
              <w:t>Microsoft 365 Copilot</w:t>
            </w:r>
          </w:p>
        </w:tc>
        <w:tc>
          <w:tcPr>
            <w:tcW w:type="dxa" w:w="2381"/>
            <w:tcMar>
              <w:top w:w="90" w:type="dxa"/>
              <w:start w:w="110" w:type="dxa"/>
              <w:bottom w:w="90" w:type="dxa"/>
              <w:end w:w="110" w:type="dxa"/>
            </w:tcMar>
            <w:vAlign w:val="center"/>
          </w:tcPr>
          <w:p>
            <w:pPr>
              <w:spacing w:after="0"/>
            </w:pPr>
            <w:r>
              <w:rPr>
                <w:sz w:val="17"/>
              </w:rPr>
              <w:t>US$30 per user per month</w:t>
            </w:r>
          </w:p>
        </w:tc>
        <w:tc>
          <w:tcPr>
            <w:tcW w:type="dxa" w:w="4592"/>
            <w:tcMar>
              <w:top w:w="90" w:type="dxa"/>
              <w:start w:w="110" w:type="dxa"/>
              <w:bottom w:w="90" w:type="dxa"/>
              <w:end w:w="110" w:type="dxa"/>
            </w:tcMar>
            <w:vAlign w:val="center"/>
          </w:tcPr>
          <w:p>
            <w:pPr>
              <w:spacing w:after="0"/>
            </w:pPr>
            <w:r>
              <w:rPr>
                <w:sz w:val="17"/>
              </w:rPr>
              <w:t>Paid yearly; separate qualifying Microsoft 365 plan required. [1]</w:t>
            </w:r>
          </w:p>
        </w:tc>
      </w:tr>
      <w:tr>
        <w:trPr>
          <w:trHeight w:hRule="atLeast"/>
        </w:trPr>
        <w:tc>
          <w:tcPr>
            <w:tcW w:type="dxa" w:w="2494"/>
            <w:shd w:fill="F6F8FA"/>
            <w:tcMar>
              <w:top w:w="90" w:type="dxa"/>
              <w:start w:w="110" w:type="dxa"/>
              <w:bottom w:w="90" w:type="dxa"/>
              <w:end w:w="110" w:type="dxa"/>
            </w:tcMar>
            <w:vAlign w:val="center"/>
          </w:tcPr>
          <w:p>
            <w:pPr>
              <w:spacing w:after="0"/>
            </w:pPr>
            <w:r>
              <w:rPr>
                <w:sz w:val="17"/>
              </w:rPr>
              <w:t>GPT-5.4 mini input</w:t>
            </w:r>
          </w:p>
        </w:tc>
        <w:tc>
          <w:tcPr>
            <w:tcW w:type="dxa" w:w="2381"/>
            <w:shd w:fill="F6F8FA"/>
            <w:tcMar>
              <w:top w:w="90" w:type="dxa"/>
              <w:start w:w="110" w:type="dxa"/>
              <w:bottom w:w="90" w:type="dxa"/>
              <w:end w:w="110" w:type="dxa"/>
            </w:tcMar>
            <w:vAlign w:val="center"/>
          </w:tcPr>
          <w:p>
            <w:pPr>
              <w:spacing w:after="0"/>
            </w:pPr>
            <w:r>
              <w:rPr>
                <w:sz w:val="17"/>
              </w:rPr>
              <w:t>US$0.75 per 1 million tokens</w:t>
            </w:r>
          </w:p>
        </w:tc>
        <w:tc>
          <w:tcPr>
            <w:tcW w:type="dxa" w:w="4592"/>
            <w:shd w:fill="F6F8FA"/>
            <w:tcMar>
              <w:top w:w="90" w:type="dxa"/>
              <w:start w:w="110" w:type="dxa"/>
              <w:bottom w:w="90" w:type="dxa"/>
              <w:end w:w="110" w:type="dxa"/>
            </w:tcMar>
            <w:vAlign w:val="center"/>
          </w:tcPr>
          <w:p>
            <w:pPr>
              <w:spacing w:after="0"/>
            </w:pPr>
            <w:r>
              <w:rPr>
                <w:sz w:val="17"/>
              </w:rPr>
              <w:t>Standard API text-token rate. [2]</w:t>
            </w:r>
          </w:p>
        </w:tc>
      </w:tr>
      <w:tr>
        <w:trPr>
          <w:trHeight w:hRule="atLeast"/>
        </w:trPr>
        <w:tc>
          <w:tcPr>
            <w:tcW w:type="dxa" w:w="2494"/>
            <w:tcMar>
              <w:top w:w="90" w:type="dxa"/>
              <w:start w:w="110" w:type="dxa"/>
              <w:bottom w:w="90" w:type="dxa"/>
              <w:end w:w="110" w:type="dxa"/>
            </w:tcMar>
            <w:vAlign w:val="center"/>
          </w:tcPr>
          <w:p>
            <w:pPr>
              <w:spacing w:after="0"/>
            </w:pPr>
            <w:r>
              <w:rPr>
                <w:sz w:val="17"/>
              </w:rPr>
              <w:t>GPT-5.4 mini cached input</w:t>
            </w:r>
          </w:p>
        </w:tc>
        <w:tc>
          <w:tcPr>
            <w:tcW w:type="dxa" w:w="2381"/>
            <w:tcMar>
              <w:top w:w="90" w:type="dxa"/>
              <w:start w:w="110" w:type="dxa"/>
              <w:bottom w:w="90" w:type="dxa"/>
              <w:end w:w="110" w:type="dxa"/>
            </w:tcMar>
            <w:vAlign w:val="center"/>
          </w:tcPr>
          <w:p>
            <w:pPr>
              <w:spacing w:after="0"/>
            </w:pPr>
            <w:r>
              <w:rPr>
                <w:sz w:val="17"/>
              </w:rPr>
              <w:t>US$0.075 per 1 million tokens</w:t>
            </w:r>
          </w:p>
        </w:tc>
        <w:tc>
          <w:tcPr>
            <w:tcW w:type="dxa" w:w="4592"/>
            <w:tcMar>
              <w:top w:w="90" w:type="dxa"/>
              <w:start w:w="110" w:type="dxa"/>
              <w:bottom w:w="90" w:type="dxa"/>
              <w:end w:w="110" w:type="dxa"/>
            </w:tcMar>
            <w:vAlign w:val="center"/>
          </w:tcPr>
          <w:p>
            <w:pPr>
              <w:spacing w:after="0"/>
            </w:pPr>
            <w:r>
              <w:rPr>
                <w:sz w:val="17"/>
              </w:rPr>
              <w:t>Not credited in the conservative scenario calculations. [2]</w:t>
            </w:r>
          </w:p>
        </w:tc>
      </w:tr>
      <w:tr>
        <w:trPr>
          <w:trHeight w:hRule="atLeast"/>
        </w:trPr>
        <w:tc>
          <w:tcPr>
            <w:tcW w:type="dxa" w:w="2494"/>
            <w:shd w:fill="F6F8FA"/>
            <w:tcMar>
              <w:top w:w="90" w:type="dxa"/>
              <w:start w:w="110" w:type="dxa"/>
              <w:bottom w:w="90" w:type="dxa"/>
              <w:end w:w="110" w:type="dxa"/>
            </w:tcMar>
            <w:vAlign w:val="center"/>
          </w:tcPr>
          <w:p>
            <w:pPr>
              <w:spacing w:after="0"/>
            </w:pPr>
            <w:r>
              <w:rPr>
                <w:sz w:val="17"/>
              </w:rPr>
              <w:t>GPT-5.4 mini output</w:t>
            </w:r>
          </w:p>
        </w:tc>
        <w:tc>
          <w:tcPr>
            <w:tcW w:type="dxa" w:w="2381"/>
            <w:shd w:fill="F6F8FA"/>
            <w:tcMar>
              <w:top w:w="90" w:type="dxa"/>
              <w:start w:w="110" w:type="dxa"/>
              <w:bottom w:w="90" w:type="dxa"/>
              <w:end w:w="110" w:type="dxa"/>
            </w:tcMar>
            <w:vAlign w:val="center"/>
          </w:tcPr>
          <w:p>
            <w:pPr>
              <w:spacing w:after="0"/>
            </w:pPr>
            <w:r>
              <w:rPr>
                <w:sz w:val="17"/>
              </w:rPr>
              <w:t>US$4.50 per 1 million tokens</w:t>
            </w:r>
          </w:p>
        </w:tc>
        <w:tc>
          <w:tcPr>
            <w:tcW w:type="dxa" w:w="4592"/>
            <w:shd w:fill="F6F8FA"/>
            <w:tcMar>
              <w:top w:w="90" w:type="dxa"/>
              <w:start w:w="110" w:type="dxa"/>
              <w:bottom w:w="90" w:type="dxa"/>
              <w:end w:w="110" w:type="dxa"/>
            </w:tcMar>
            <w:vAlign w:val="center"/>
          </w:tcPr>
          <w:p>
            <w:pPr>
              <w:spacing w:after="0"/>
            </w:pPr>
            <w:r>
              <w:rPr>
                <w:sz w:val="17"/>
              </w:rPr>
              <w:t>Standard API text-token rate. [2]</w:t>
            </w:r>
          </w:p>
        </w:tc>
      </w:tr>
      <w:tr>
        <w:trPr>
          <w:trHeight w:hRule="atLeast"/>
        </w:trPr>
        <w:tc>
          <w:tcPr>
            <w:tcW w:type="dxa" w:w="2494"/>
            <w:tcMar>
              <w:top w:w="90" w:type="dxa"/>
              <w:start w:w="110" w:type="dxa"/>
              <w:bottom w:w="90" w:type="dxa"/>
              <w:end w:w="110" w:type="dxa"/>
            </w:tcMar>
            <w:vAlign w:val="center"/>
          </w:tcPr>
          <w:p>
            <w:pPr>
              <w:spacing w:after="0"/>
            </w:pPr>
            <w:r>
              <w:rPr>
                <w:sz w:val="17"/>
              </w:rPr>
              <w:t>Regional processing</w:t>
            </w:r>
          </w:p>
        </w:tc>
        <w:tc>
          <w:tcPr>
            <w:tcW w:type="dxa" w:w="2381"/>
            <w:tcMar>
              <w:top w:w="90" w:type="dxa"/>
              <w:start w:w="110" w:type="dxa"/>
              <w:bottom w:w="90" w:type="dxa"/>
              <w:end w:w="110" w:type="dxa"/>
            </w:tcMar>
            <w:vAlign w:val="center"/>
          </w:tcPr>
          <w:p>
            <w:pPr>
              <w:spacing w:after="0"/>
            </w:pPr>
            <w:r>
              <w:rPr>
                <w:sz w:val="17"/>
              </w:rPr>
              <w:t>10% uplift</w:t>
            </w:r>
          </w:p>
        </w:tc>
        <w:tc>
          <w:tcPr>
            <w:tcW w:type="dxa" w:w="4592"/>
            <w:tcMar>
              <w:top w:w="90" w:type="dxa"/>
              <w:start w:w="110" w:type="dxa"/>
              <w:bottom w:w="90" w:type="dxa"/>
              <w:end w:w="110" w:type="dxa"/>
            </w:tcMar>
            <w:vAlign w:val="center"/>
          </w:tcPr>
          <w:p>
            <w:pPr>
              <w:spacing w:after="0"/>
            </w:pPr>
            <w:r>
              <w:rPr>
                <w:sz w:val="17"/>
              </w:rPr>
              <w:t>Applies to GPT-5.4 mini regional data-residency endpoints. [2]</w:t>
            </w:r>
          </w:p>
        </w:tc>
      </w:tr>
    </w:tbl>
    <w:p>
      <w:pPr>
        <w:pStyle w:val="BodyText"/>
      </w:pPr>
      <w:r>
        <w:t>The Microsoft baseline assumes the organization already owns a qualifying Microsoft 365 plan and is considering five additional Copilot licenses. If it does not own that plan, the full Microsoft cost is higher. Microsoft also offers Copilot Chat at no additional cost for eligible Entra users with an eligible Microsoft 365 subscription; the cost-saving comparison does not apply against that included chat product. Copilot Chat and a deterministic specialist engineering application are also not functionally equivalent. [1]</w:t>
      </w:r>
    </w:p>
    <w:p>
      <w:pPr>
        <w:pStyle w:val="Heading2"/>
        <w:keepNext/>
        <w:keepLines/>
      </w:pPr>
      <w:r>
        <w:t>6.2 Calculation method</w:t>
      </w:r>
    </w:p>
    <w:p>
      <w:pPr>
        <w:pStyle w:val="BodyText"/>
      </w:pPr>
      <w:r>
        <w:t>Monthly Microsoft Copilot cost = number of users x monthly seat price.</w:t>
      </w:r>
    </w:p>
    <w:p>
      <w:pPr>
        <w:pStyle w:val="BodyText"/>
      </w:pPr>
      <w:r>
        <w:t>Monthly custom chat cost = input tokens / 1,000,000 x input price + output tokens / 1,000,000 x output price.</w:t>
      </w:r>
    </w:p>
    <w:p>
      <w:pPr>
        <w:pStyle w:val="BodyText"/>
      </w:pPr>
      <w:r>
        <w:t>Monthly difference = Microsoft Copilot seat cost - custom chat-token cost.</w:t>
      </w:r>
    </w:p>
    <w:p>
      <w:pPr>
        <w:pStyle w:val="Heading2"/>
        <w:keepNext/>
        <w:keepLines/>
      </w:pPr>
      <w:r>
        <w:t>6.3 Usage assumptions</w:t>
      </w:r>
    </w:p>
    <w:tbl>
      <w:tblPr>
        <w:tblStyle w:val="TableGrid"/>
        <w:tblW w:type="auto" w:w="0"/>
        <w:tblLayout w:type="fixed"/>
        <w:tblLook w:firstColumn="1" w:firstRow="1" w:lastColumn="0" w:lastRow="0" w:noHBand="0" w:noVBand="1" w:val="04A0"/>
      </w:tblPr>
      <w:tblGrid>
        <w:gridCol w:w="2438"/>
        <w:gridCol w:w="2438"/>
        <w:gridCol w:w="2438"/>
        <w:gridCol w:w="2438"/>
      </w:tblGrid>
      <w:tr>
        <w:trPr>
          <w:trHeight w:hRule="atLeast"/>
          <w:tblHeader w:val="true"/>
        </w:trPr>
        <w:tc>
          <w:tcPr>
            <w:tcW w:type="dxa" w:w="1871"/>
            <w:shd w:fill="16324F"/>
            <w:tcMar>
              <w:top w:w="90" w:type="dxa"/>
              <w:start w:w="110" w:type="dxa"/>
              <w:bottom w:w="90" w:type="dxa"/>
              <w:end w:w="110" w:type="dxa"/>
            </w:tcMar>
            <w:vAlign w:val="center"/>
          </w:tcPr>
          <w:p>
            <w:pPr>
              <w:spacing w:after="0"/>
            </w:pPr>
            <w:r>
              <w:rPr>
                <w:b/>
                <w:color w:val="FFFFFF"/>
                <w:sz w:val="17"/>
              </w:rPr>
              <w:t>Scenario</w:t>
            </w:r>
          </w:p>
        </w:tc>
        <w:tc>
          <w:tcPr>
            <w:tcW w:type="dxa" w:w="2438"/>
            <w:shd w:fill="16324F"/>
            <w:tcMar>
              <w:top w:w="90" w:type="dxa"/>
              <w:start w:w="110" w:type="dxa"/>
              <w:bottom w:w="90" w:type="dxa"/>
              <w:end w:w="110" w:type="dxa"/>
            </w:tcMar>
            <w:vAlign w:val="center"/>
          </w:tcPr>
          <w:p>
            <w:pPr>
              <w:spacing w:after="0"/>
            </w:pPr>
            <w:r>
              <w:rPr>
                <w:b/>
                <w:color w:val="FFFFFF"/>
                <w:sz w:val="17"/>
              </w:rPr>
              <w:t>Interactions per month</w:t>
            </w:r>
          </w:p>
        </w:tc>
        <w:tc>
          <w:tcPr>
            <w:tcW w:type="dxa" w:w="2608"/>
            <w:shd w:fill="16324F"/>
            <w:tcMar>
              <w:top w:w="90" w:type="dxa"/>
              <w:start w:w="110" w:type="dxa"/>
              <w:bottom w:w="90" w:type="dxa"/>
              <w:end w:w="110" w:type="dxa"/>
            </w:tcMar>
            <w:vAlign w:val="center"/>
          </w:tcPr>
          <w:p>
            <w:pPr>
              <w:spacing w:after="0"/>
            </w:pPr>
            <w:r>
              <w:rPr>
                <w:b/>
                <w:color w:val="FFFFFF"/>
                <w:sz w:val="17"/>
              </w:rPr>
              <w:t>Input tokens per interaction</w:t>
            </w:r>
          </w:p>
        </w:tc>
        <w:tc>
          <w:tcPr>
            <w:tcW w:type="dxa" w:w="2551"/>
            <w:shd w:fill="16324F"/>
            <w:tcMar>
              <w:top w:w="90" w:type="dxa"/>
              <w:start w:w="110" w:type="dxa"/>
              <w:bottom w:w="90" w:type="dxa"/>
              <w:end w:w="110" w:type="dxa"/>
            </w:tcMar>
            <w:vAlign w:val="center"/>
          </w:tcPr>
          <w:p>
            <w:pPr>
              <w:spacing w:after="0"/>
            </w:pPr>
            <w:r>
              <w:rPr>
                <w:b/>
                <w:color w:val="FFFFFF"/>
                <w:sz w:val="17"/>
              </w:rPr>
              <w:t>Output tokens per interaction</w:t>
            </w:r>
          </w:p>
        </w:tc>
      </w:tr>
      <w:tr>
        <w:trPr>
          <w:trHeight w:hRule="atLeast"/>
        </w:trPr>
        <w:tc>
          <w:tcPr>
            <w:tcW w:type="dxa" w:w="1871"/>
            <w:tcMar>
              <w:top w:w="90" w:type="dxa"/>
              <w:start w:w="110" w:type="dxa"/>
              <w:bottom w:w="90" w:type="dxa"/>
              <w:end w:w="110" w:type="dxa"/>
            </w:tcMar>
            <w:vAlign w:val="center"/>
          </w:tcPr>
          <w:p>
            <w:pPr>
              <w:spacing w:after="0"/>
            </w:pPr>
            <w:r>
              <w:rPr>
                <w:sz w:val="17"/>
              </w:rPr>
              <w:t>Light</w:t>
            </w:r>
          </w:p>
        </w:tc>
        <w:tc>
          <w:tcPr>
            <w:tcW w:type="dxa" w:w="2438"/>
            <w:tcMar>
              <w:top w:w="90" w:type="dxa"/>
              <w:start w:w="110" w:type="dxa"/>
              <w:bottom w:w="90" w:type="dxa"/>
              <w:end w:w="110" w:type="dxa"/>
            </w:tcMar>
            <w:vAlign w:val="center"/>
          </w:tcPr>
          <w:p>
            <w:pPr>
              <w:spacing w:after="0"/>
            </w:pPr>
            <w:r>
              <w:rPr>
                <w:sz w:val="17"/>
              </w:rPr>
              <w:t>500</w:t>
            </w:r>
          </w:p>
        </w:tc>
        <w:tc>
          <w:tcPr>
            <w:tcW w:type="dxa" w:w="2608"/>
            <w:tcMar>
              <w:top w:w="90" w:type="dxa"/>
              <w:start w:w="110" w:type="dxa"/>
              <w:bottom w:w="90" w:type="dxa"/>
              <w:end w:w="110" w:type="dxa"/>
            </w:tcMar>
            <w:vAlign w:val="center"/>
          </w:tcPr>
          <w:p>
            <w:pPr>
              <w:spacing w:after="0"/>
            </w:pPr>
            <w:r>
              <w:rPr>
                <w:sz w:val="17"/>
              </w:rPr>
              <w:t>6,000</w:t>
            </w:r>
          </w:p>
        </w:tc>
        <w:tc>
          <w:tcPr>
            <w:tcW w:type="dxa" w:w="2551"/>
            <w:tcMar>
              <w:top w:w="90" w:type="dxa"/>
              <w:start w:w="110" w:type="dxa"/>
              <w:bottom w:w="90" w:type="dxa"/>
              <w:end w:w="110" w:type="dxa"/>
            </w:tcMar>
            <w:vAlign w:val="center"/>
          </w:tcPr>
          <w:p>
            <w:pPr>
              <w:spacing w:after="0"/>
            </w:pPr>
            <w:r>
              <w:rPr>
                <w:sz w:val="17"/>
              </w:rPr>
              <w:t>500</w:t>
            </w:r>
          </w:p>
        </w:tc>
      </w:tr>
      <w:tr>
        <w:trPr>
          <w:trHeight w:hRule="atLeast"/>
        </w:trPr>
        <w:tc>
          <w:tcPr>
            <w:tcW w:type="dxa" w:w="1871"/>
            <w:shd w:fill="F6F8FA"/>
            <w:tcMar>
              <w:top w:w="90" w:type="dxa"/>
              <w:start w:w="110" w:type="dxa"/>
              <w:bottom w:w="90" w:type="dxa"/>
              <w:end w:w="110" w:type="dxa"/>
            </w:tcMar>
            <w:vAlign w:val="center"/>
          </w:tcPr>
          <w:p>
            <w:pPr>
              <w:spacing w:after="0"/>
            </w:pPr>
            <w:r>
              <w:rPr>
                <w:sz w:val="17"/>
              </w:rPr>
              <w:t>Expected</w:t>
            </w:r>
          </w:p>
        </w:tc>
        <w:tc>
          <w:tcPr>
            <w:tcW w:type="dxa" w:w="2438"/>
            <w:shd w:fill="F6F8FA"/>
            <w:tcMar>
              <w:top w:w="90" w:type="dxa"/>
              <w:start w:w="110" w:type="dxa"/>
              <w:bottom w:w="90" w:type="dxa"/>
              <w:end w:w="110" w:type="dxa"/>
            </w:tcMar>
            <w:vAlign w:val="center"/>
          </w:tcPr>
          <w:p>
            <w:pPr>
              <w:spacing w:after="0"/>
            </w:pPr>
            <w:r>
              <w:rPr>
                <w:sz w:val="17"/>
              </w:rPr>
              <w:t>1,000</w:t>
            </w:r>
          </w:p>
        </w:tc>
        <w:tc>
          <w:tcPr>
            <w:tcW w:type="dxa" w:w="2608"/>
            <w:shd w:fill="F6F8FA"/>
            <w:tcMar>
              <w:top w:w="90" w:type="dxa"/>
              <w:start w:w="110" w:type="dxa"/>
              <w:bottom w:w="90" w:type="dxa"/>
              <w:end w:w="110" w:type="dxa"/>
            </w:tcMar>
            <w:vAlign w:val="center"/>
          </w:tcPr>
          <w:p>
            <w:pPr>
              <w:spacing w:after="0"/>
            </w:pPr>
            <w:r>
              <w:rPr>
                <w:sz w:val="17"/>
              </w:rPr>
              <w:t>8,000</w:t>
            </w:r>
          </w:p>
        </w:tc>
        <w:tc>
          <w:tcPr>
            <w:tcW w:type="dxa" w:w="2551"/>
            <w:shd w:fill="F6F8FA"/>
            <w:tcMar>
              <w:top w:w="90" w:type="dxa"/>
              <w:start w:w="110" w:type="dxa"/>
              <w:bottom w:w="90" w:type="dxa"/>
              <w:end w:w="110" w:type="dxa"/>
            </w:tcMar>
            <w:vAlign w:val="center"/>
          </w:tcPr>
          <w:p>
            <w:pPr>
              <w:spacing w:after="0"/>
            </w:pPr>
            <w:r>
              <w:rPr>
                <w:sz w:val="17"/>
              </w:rPr>
              <w:t>800</w:t>
            </w:r>
          </w:p>
        </w:tc>
      </w:tr>
      <w:tr>
        <w:trPr>
          <w:trHeight w:hRule="atLeast"/>
        </w:trPr>
        <w:tc>
          <w:tcPr>
            <w:tcW w:type="dxa" w:w="1871"/>
            <w:tcMar>
              <w:top w:w="90" w:type="dxa"/>
              <w:start w:w="110" w:type="dxa"/>
              <w:bottom w:w="90" w:type="dxa"/>
              <w:end w:w="110" w:type="dxa"/>
            </w:tcMar>
            <w:vAlign w:val="center"/>
          </w:tcPr>
          <w:p>
            <w:pPr>
              <w:spacing w:after="0"/>
            </w:pPr>
            <w:r>
              <w:rPr>
                <w:sz w:val="17"/>
              </w:rPr>
              <w:t>Heavy</w:t>
            </w:r>
          </w:p>
        </w:tc>
        <w:tc>
          <w:tcPr>
            <w:tcW w:type="dxa" w:w="2438"/>
            <w:tcMar>
              <w:top w:w="90" w:type="dxa"/>
              <w:start w:w="110" w:type="dxa"/>
              <w:bottom w:w="90" w:type="dxa"/>
              <w:end w:w="110" w:type="dxa"/>
            </w:tcMar>
            <w:vAlign w:val="center"/>
          </w:tcPr>
          <w:p>
            <w:pPr>
              <w:spacing w:after="0"/>
            </w:pPr>
            <w:r>
              <w:rPr>
                <w:sz w:val="17"/>
              </w:rPr>
              <w:t>2,000</w:t>
            </w:r>
          </w:p>
        </w:tc>
        <w:tc>
          <w:tcPr>
            <w:tcW w:type="dxa" w:w="2608"/>
            <w:tcMar>
              <w:top w:w="90" w:type="dxa"/>
              <w:start w:w="110" w:type="dxa"/>
              <w:bottom w:w="90" w:type="dxa"/>
              <w:end w:w="110" w:type="dxa"/>
            </w:tcMar>
            <w:vAlign w:val="center"/>
          </w:tcPr>
          <w:p>
            <w:pPr>
              <w:spacing w:after="0"/>
            </w:pPr>
            <w:r>
              <w:rPr>
                <w:sz w:val="17"/>
              </w:rPr>
              <w:t>10,000</w:t>
            </w:r>
          </w:p>
        </w:tc>
        <w:tc>
          <w:tcPr>
            <w:tcW w:type="dxa" w:w="2551"/>
            <w:tcMar>
              <w:top w:w="90" w:type="dxa"/>
              <w:start w:w="110" w:type="dxa"/>
              <w:bottom w:w="90" w:type="dxa"/>
              <w:end w:w="110" w:type="dxa"/>
            </w:tcMar>
            <w:vAlign w:val="center"/>
          </w:tcPr>
          <w:p>
            <w:pPr>
              <w:spacing w:after="0"/>
            </w:pPr>
            <w:r>
              <w:rPr>
                <w:sz w:val="17"/>
              </w:rPr>
              <w:t>1,200</w:t>
            </w:r>
          </w:p>
        </w:tc>
      </w:tr>
    </w:tbl>
    <w:p>
      <w:pPr>
        <w:pStyle w:val="BodyText"/>
      </w:pPr>
      <w:r>
        <w:t>The expected scenario is five engineers x ten assistant interactions per working day x twenty working days = 1,000 interactions per month. Token assumptions include the domain prompt, tool schemas, short history, current snapshot, selected retrieval passages and final answer. Actual usage must be measured from API response metadata before procurement.</w:t>
      </w:r>
    </w:p>
    <w:p>
      <w:pPr>
        <w:pStyle w:val="Heading2"/>
        <w:keepNext/>
        <w:keepLines/>
      </w:pPr>
      <w:r>
        <w:t>6.4 Scenario results</w:t>
      </w:r>
    </w:p>
    <w:tbl>
      <w:tblPr>
        <w:tblStyle w:val="TableGrid"/>
        <w:tblW w:type="auto" w:w="0"/>
        <w:tblLayout w:type="fixed"/>
        <w:tblLook w:firstColumn="1" w:firstRow="1" w:lastColumn="0" w:lastRow="0" w:noHBand="0" w:noVBand="1" w:val="04A0"/>
      </w:tblPr>
      <w:tblGrid>
        <w:gridCol w:w="1625"/>
        <w:gridCol w:w="1625"/>
        <w:gridCol w:w="1625"/>
        <w:gridCol w:w="1625"/>
        <w:gridCol w:w="1625"/>
        <w:gridCol w:w="1625"/>
      </w:tblGrid>
      <w:tr>
        <w:trPr>
          <w:trHeight w:hRule="atLeast"/>
          <w:tblHeader w:val="true"/>
        </w:trPr>
        <w:tc>
          <w:tcPr>
            <w:tcW w:type="dxa" w:w="1191"/>
            <w:shd w:fill="16324F"/>
            <w:tcMar>
              <w:top w:w="90" w:type="dxa"/>
              <w:start w:w="110" w:type="dxa"/>
              <w:bottom w:w="90" w:type="dxa"/>
              <w:end w:w="110" w:type="dxa"/>
            </w:tcMar>
            <w:vAlign w:val="center"/>
          </w:tcPr>
          <w:p>
            <w:pPr>
              <w:spacing w:after="0"/>
            </w:pPr>
            <w:r>
              <w:rPr>
                <w:b/>
                <w:color w:val="FFFFFF"/>
                <w:sz w:val="16"/>
              </w:rPr>
              <w:t>Scenario</w:t>
            </w:r>
          </w:p>
        </w:tc>
        <w:tc>
          <w:tcPr>
            <w:tcW w:type="dxa" w:w="1587"/>
            <w:shd w:fill="16324F"/>
            <w:tcMar>
              <w:top w:w="90" w:type="dxa"/>
              <w:start w:w="110" w:type="dxa"/>
              <w:bottom w:w="90" w:type="dxa"/>
              <w:end w:w="110" w:type="dxa"/>
            </w:tcMar>
            <w:vAlign w:val="center"/>
          </w:tcPr>
          <w:p>
            <w:pPr>
              <w:spacing w:after="0"/>
            </w:pPr>
            <w:r>
              <w:rPr>
                <w:b/>
                <w:color w:val="FFFFFF"/>
                <w:sz w:val="16"/>
              </w:rPr>
              <w:t>Custom API / month</w:t>
            </w:r>
          </w:p>
        </w:tc>
        <w:tc>
          <w:tcPr>
            <w:tcW w:type="dxa" w:w="1587"/>
            <w:shd w:fill="16324F"/>
            <w:tcMar>
              <w:top w:w="90" w:type="dxa"/>
              <w:start w:w="110" w:type="dxa"/>
              <w:bottom w:w="90" w:type="dxa"/>
              <w:end w:w="110" w:type="dxa"/>
            </w:tcMar>
            <w:vAlign w:val="center"/>
          </w:tcPr>
          <w:p>
            <w:pPr>
              <w:spacing w:after="0"/>
            </w:pPr>
            <w:r>
              <w:rPr>
                <w:b/>
                <w:color w:val="FFFFFF"/>
                <w:sz w:val="16"/>
              </w:rPr>
              <w:t>Custom API / year</w:t>
            </w:r>
          </w:p>
        </w:tc>
        <w:tc>
          <w:tcPr>
            <w:tcW w:type="dxa" w:w="1587"/>
            <w:shd w:fill="16324F"/>
            <w:tcMar>
              <w:top w:w="90" w:type="dxa"/>
              <w:start w:w="110" w:type="dxa"/>
              <w:bottom w:w="90" w:type="dxa"/>
              <w:end w:w="110" w:type="dxa"/>
            </w:tcMar>
            <w:vAlign w:val="center"/>
          </w:tcPr>
          <w:p>
            <w:pPr>
              <w:spacing w:after="0"/>
            </w:pPr>
            <w:r>
              <w:rPr>
                <w:b/>
                <w:color w:val="FFFFFF"/>
                <w:sz w:val="16"/>
              </w:rPr>
              <w:t>Difference / month</w:t>
            </w:r>
          </w:p>
        </w:tc>
        <w:tc>
          <w:tcPr>
            <w:tcW w:type="dxa" w:w="1644"/>
            <w:shd w:fill="16324F"/>
            <w:tcMar>
              <w:top w:w="90" w:type="dxa"/>
              <w:start w:w="110" w:type="dxa"/>
              <w:bottom w:w="90" w:type="dxa"/>
              <w:end w:w="110" w:type="dxa"/>
            </w:tcMar>
            <w:vAlign w:val="center"/>
          </w:tcPr>
          <w:p>
            <w:pPr>
              <w:spacing w:after="0"/>
            </w:pPr>
            <w:r>
              <w:rPr>
                <w:b/>
                <w:color w:val="FFFFFF"/>
                <w:sz w:val="16"/>
              </w:rPr>
              <w:t>Difference / year</w:t>
            </w:r>
          </w:p>
        </w:tc>
        <w:tc>
          <w:tcPr>
            <w:tcW w:type="dxa" w:w="1871"/>
            <w:shd w:fill="16324F"/>
            <w:tcMar>
              <w:top w:w="90" w:type="dxa"/>
              <w:start w:w="110" w:type="dxa"/>
              <w:bottom w:w="90" w:type="dxa"/>
              <w:end w:w="110" w:type="dxa"/>
            </w:tcMar>
            <w:vAlign w:val="center"/>
          </w:tcPr>
          <w:p>
            <w:pPr>
              <w:spacing w:after="0"/>
            </w:pPr>
            <w:r>
              <w:rPr>
                <w:b/>
                <w:color w:val="FFFFFF"/>
                <w:sz w:val="16"/>
              </w:rPr>
              <w:t>Lower than US$150 baseline</w:t>
            </w:r>
          </w:p>
        </w:tc>
      </w:tr>
      <w:tr>
        <w:trPr>
          <w:trHeight w:hRule="atLeast"/>
        </w:trPr>
        <w:tc>
          <w:tcPr>
            <w:tcW w:type="dxa" w:w="1191"/>
            <w:tcMar>
              <w:top w:w="90" w:type="dxa"/>
              <w:start w:w="110" w:type="dxa"/>
              <w:bottom w:w="90" w:type="dxa"/>
              <w:end w:w="110" w:type="dxa"/>
            </w:tcMar>
            <w:vAlign w:val="center"/>
          </w:tcPr>
          <w:p>
            <w:pPr>
              <w:spacing w:after="0"/>
            </w:pPr>
            <w:r>
              <w:rPr>
                <w:sz w:val="16"/>
              </w:rPr>
              <w:t>Light</w:t>
            </w:r>
          </w:p>
        </w:tc>
        <w:tc>
          <w:tcPr>
            <w:tcW w:type="dxa" w:w="1587"/>
            <w:tcMar>
              <w:top w:w="90" w:type="dxa"/>
              <w:start w:w="110" w:type="dxa"/>
              <w:bottom w:w="90" w:type="dxa"/>
              <w:end w:w="110" w:type="dxa"/>
            </w:tcMar>
            <w:vAlign w:val="center"/>
          </w:tcPr>
          <w:p>
            <w:pPr>
              <w:spacing w:after="0"/>
            </w:pPr>
            <w:r>
              <w:rPr>
                <w:sz w:val="16"/>
              </w:rPr>
              <w:t>US$3.38</w:t>
            </w:r>
          </w:p>
        </w:tc>
        <w:tc>
          <w:tcPr>
            <w:tcW w:type="dxa" w:w="1587"/>
            <w:tcMar>
              <w:top w:w="90" w:type="dxa"/>
              <w:start w:w="110" w:type="dxa"/>
              <w:bottom w:w="90" w:type="dxa"/>
              <w:end w:w="110" w:type="dxa"/>
            </w:tcMar>
            <w:vAlign w:val="center"/>
          </w:tcPr>
          <w:p>
            <w:pPr>
              <w:spacing w:after="0"/>
            </w:pPr>
            <w:r>
              <w:rPr>
                <w:sz w:val="16"/>
              </w:rPr>
              <w:t>US$40.50</w:t>
            </w:r>
          </w:p>
        </w:tc>
        <w:tc>
          <w:tcPr>
            <w:tcW w:type="dxa" w:w="1587"/>
            <w:tcMar>
              <w:top w:w="90" w:type="dxa"/>
              <w:start w:w="110" w:type="dxa"/>
              <w:bottom w:w="90" w:type="dxa"/>
              <w:end w:w="110" w:type="dxa"/>
            </w:tcMar>
            <w:vAlign w:val="center"/>
          </w:tcPr>
          <w:p>
            <w:pPr>
              <w:spacing w:after="0"/>
            </w:pPr>
            <w:r>
              <w:rPr>
                <w:sz w:val="16"/>
              </w:rPr>
              <w:t>US$146.63</w:t>
            </w:r>
          </w:p>
        </w:tc>
        <w:tc>
          <w:tcPr>
            <w:tcW w:type="dxa" w:w="1644"/>
            <w:tcMar>
              <w:top w:w="90" w:type="dxa"/>
              <w:start w:w="110" w:type="dxa"/>
              <w:bottom w:w="90" w:type="dxa"/>
              <w:end w:w="110" w:type="dxa"/>
            </w:tcMar>
            <w:vAlign w:val="center"/>
          </w:tcPr>
          <w:p>
            <w:pPr>
              <w:spacing w:after="0"/>
            </w:pPr>
            <w:r>
              <w:rPr>
                <w:sz w:val="16"/>
              </w:rPr>
              <w:t>US$1,759.50</w:t>
            </w:r>
          </w:p>
        </w:tc>
        <w:tc>
          <w:tcPr>
            <w:tcW w:type="dxa" w:w="1871"/>
            <w:tcMar>
              <w:top w:w="90" w:type="dxa"/>
              <w:start w:w="110" w:type="dxa"/>
              <w:bottom w:w="90" w:type="dxa"/>
              <w:end w:w="110" w:type="dxa"/>
            </w:tcMar>
            <w:vAlign w:val="center"/>
          </w:tcPr>
          <w:p>
            <w:pPr>
              <w:spacing w:after="0"/>
            </w:pPr>
            <w:r>
              <w:rPr>
                <w:sz w:val="16"/>
              </w:rPr>
              <w:t>97.8%</w:t>
            </w:r>
          </w:p>
        </w:tc>
      </w:tr>
      <w:tr>
        <w:trPr>
          <w:trHeight w:hRule="atLeast"/>
        </w:trPr>
        <w:tc>
          <w:tcPr>
            <w:tcW w:type="dxa" w:w="1191"/>
            <w:shd w:fill="F6F8FA"/>
            <w:tcMar>
              <w:top w:w="90" w:type="dxa"/>
              <w:start w:w="110" w:type="dxa"/>
              <w:bottom w:w="90" w:type="dxa"/>
              <w:end w:w="110" w:type="dxa"/>
            </w:tcMar>
            <w:vAlign w:val="center"/>
          </w:tcPr>
          <w:p>
            <w:pPr>
              <w:spacing w:after="0"/>
            </w:pPr>
            <w:r>
              <w:rPr>
                <w:sz w:val="16"/>
              </w:rPr>
              <w:t>Expected</w:t>
            </w:r>
          </w:p>
        </w:tc>
        <w:tc>
          <w:tcPr>
            <w:tcW w:type="dxa" w:w="1587"/>
            <w:shd w:fill="F6F8FA"/>
            <w:tcMar>
              <w:top w:w="90" w:type="dxa"/>
              <w:start w:w="110" w:type="dxa"/>
              <w:bottom w:w="90" w:type="dxa"/>
              <w:end w:w="110" w:type="dxa"/>
            </w:tcMar>
            <w:vAlign w:val="center"/>
          </w:tcPr>
          <w:p>
            <w:pPr>
              <w:spacing w:after="0"/>
            </w:pPr>
            <w:r>
              <w:rPr>
                <w:sz w:val="16"/>
              </w:rPr>
              <w:t>US$9.60</w:t>
            </w:r>
          </w:p>
        </w:tc>
        <w:tc>
          <w:tcPr>
            <w:tcW w:type="dxa" w:w="1587"/>
            <w:shd w:fill="F6F8FA"/>
            <w:tcMar>
              <w:top w:w="90" w:type="dxa"/>
              <w:start w:w="110" w:type="dxa"/>
              <w:bottom w:w="90" w:type="dxa"/>
              <w:end w:w="110" w:type="dxa"/>
            </w:tcMar>
            <w:vAlign w:val="center"/>
          </w:tcPr>
          <w:p>
            <w:pPr>
              <w:spacing w:after="0"/>
            </w:pPr>
            <w:r>
              <w:rPr>
                <w:sz w:val="16"/>
              </w:rPr>
              <w:t>US$115.20</w:t>
            </w:r>
          </w:p>
        </w:tc>
        <w:tc>
          <w:tcPr>
            <w:tcW w:type="dxa" w:w="1587"/>
            <w:shd w:fill="F6F8FA"/>
            <w:tcMar>
              <w:top w:w="90" w:type="dxa"/>
              <w:start w:w="110" w:type="dxa"/>
              <w:bottom w:w="90" w:type="dxa"/>
              <w:end w:w="110" w:type="dxa"/>
            </w:tcMar>
            <w:vAlign w:val="center"/>
          </w:tcPr>
          <w:p>
            <w:pPr>
              <w:spacing w:after="0"/>
            </w:pPr>
            <w:r>
              <w:rPr>
                <w:sz w:val="16"/>
              </w:rPr>
              <w:t>US$140.40</w:t>
            </w:r>
          </w:p>
        </w:tc>
        <w:tc>
          <w:tcPr>
            <w:tcW w:type="dxa" w:w="1644"/>
            <w:shd w:fill="F6F8FA"/>
            <w:tcMar>
              <w:top w:w="90" w:type="dxa"/>
              <w:start w:w="110" w:type="dxa"/>
              <w:bottom w:w="90" w:type="dxa"/>
              <w:end w:w="110" w:type="dxa"/>
            </w:tcMar>
            <w:vAlign w:val="center"/>
          </w:tcPr>
          <w:p>
            <w:pPr>
              <w:spacing w:after="0"/>
            </w:pPr>
            <w:r>
              <w:rPr>
                <w:sz w:val="16"/>
              </w:rPr>
              <w:t>US$1,684.80</w:t>
            </w:r>
          </w:p>
        </w:tc>
        <w:tc>
          <w:tcPr>
            <w:tcW w:type="dxa" w:w="1871"/>
            <w:shd w:fill="F6F8FA"/>
            <w:tcMar>
              <w:top w:w="90" w:type="dxa"/>
              <w:start w:w="110" w:type="dxa"/>
              <w:bottom w:w="90" w:type="dxa"/>
              <w:end w:w="110" w:type="dxa"/>
            </w:tcMar>
            <w:vAlign w:val="center"/>
          </w:tcPr>
          <w:p>
            <w:pPr>
              <w:spacing w:after="0"/>
            </w:pPr>
            <w:r>
              <w:rPr>
                <w:sz w:val="16"/>
              </w:rPr>
              <w:t>93.6%</w:t>
            </w:r>
          </w:p>
        </w:tc>
      </w:tr>
      <w:tr>
        <w:trPr>
          <w:trHeight w:hRule="atLeast"/>
        </w:trPr>
        <w:tc>
          <w:tcPr>
            <w:tcW w:type="dxa" w:w="1191"/>
            <w:tcMar>
              <w:top w:w="90" w:type="dxa"/>
              <w:start w:w="110" w:type="dxa"/>
              <w:bottom w:w="90" w:type="dxa"/>
              <w:end w:w="110" w:type="dxa"/>
            </w:tcMar>
            <w:vAlign w:val="center"/>
          </w:tcPr>
          <w:p>
            <w:pPr>
              <w:spacing w:after="0"/>
            </w:pPr>
            <w:r>
              <w:rPr>
                <w:sz w:val="16"/>
              </w:rPr>
              <w:t>Heavy</w:t>
            </w:r>
          </w:p>
        </w:tc>
        <w:tc>
          <w:tcPr>
            <w:tcW w:type="dxa" w:w="1587"/>
            <w:tcMar>
              <w:top w:w="90" w:type="dxa"/>
              <w:start w:w="110" w:type="dxa"/>
              <w:bottom w:w="90" w:type="dxa"/>
              <w:end w:w="110" w:type="dxa"/>
            </w:tcMar>
            <w:vAlign w:val="center"/>
          </w:tcPr>
          <w:p>
            <w:pPr>
              <w:spacing w:after="0"/>
            </w:pPr>
            <w:r>
              <w:rPr>
                <w:sz w:val="16"/>
              </w:rPr>
              <w:t>US$25.80</w:t>
            </w:r>
          </w:p>
        </w:tc>
        <w:tc>
          <w:tcPr>
            <w:tcW w:type="dxa" w:w="1587"/>
            <w:tcMar>
              <w:top w:w="90" w:type="dxa"/>
              <w:start w:w="110" w:type="dxa"/>
              <w:bottom w:w="90" w:type="dxa"/>
              <w:end w:w="110" w:type="dxa"/>
            </w:tcMar>
            <w:vAlign w:val="center"/>
          </w:tcPr>
          <w:p>
            <w:pPr>
              <w:spacing w:after="0"/>
            </w:pPr>
            <w:r>
              <w:rPr>
                <w:sz w:val="16"/>
              </w:rPr>
              <w:t>US$309.60</w:t>
            </w:r>
          </w:p>
        </w:tc>
        <w:tc>
          <w:tcPr>
            <w:tcW w:type="dxa" w:w="1587"/>
            <w:tcMar>
              <w:top w:w="90" w:type="dxa"/>
              <w:start w:w="110" w:type="dxa"/>
              <w:bottom w:w="90" w:type="dxa"/>
              <w:end w:w="110" w:type="dxa"/>
            </w:tcMar>
            <w:vAlign w:val="center"/>
          </w:tcPr>
          <w:p>
            <w:pPr>
              <w:spacing w:after="0"/>
            </w:pPr>
            <w:r>
              <w:rPr>
                <w:sz w:val="16"/>
              </w:rPr>
              <w:t>US$124.20</w:t>
            </w:r>
          </w:p>
        </w:tc>
        <w:tc>
          <w:tcPr>
            <w:tcW w:type="dxa" w:w="1644"/>
            <w:tcMar>
              <w:top w:w="90" w:type="dxa"/>
              <w:start w:w="110" w:type="dxa"/>
              <w:bottom w:w="90" w:type="dxa"/>
              <w:end w:w="110" w:type="dxa"/>
            </w:tcMar>
            <w:vAlign w:val="center"/>
          </w:tcPr>
          <w:p>
            <w:pPr>
              <w:spacing w:after="0"/>
            </w:pPr>
            <w:r>
              <w:rPr>
                <w:sz w:val="16"/>
              </w:rPr>
              <w:t>US$1,490.40</w:t>
            </w:r>
          </w:p>
        </w:tc>
        <w:tc>
          <w:tcPr>
            <w:tcW w:type="dxa" w:w="1871"/>
            <w:tcMar>
              <w:top w:w="90" w:type="dxa"/>
              <w:start w:w="110" w:type="dxa"/>
              <w:bottom w:w="90" w:type="dxa"/>
              <w:end w:w="110" w:type="dxa"/>
            </w:tcMar>
            <w:vAlign w:val="center"/>
          </w:tcPr>
          <w:p>
            <w:pPr>
              <w:spacing w:after="0"/>
            </w:pPr>
            <w:r>
              <w:rPr>
                <w:sz w:val="16"/>
              </w:rPr>
              <w:t>82.8%</w:t>
            </w:r>
          </w:p>
        </w:tc>
      </w:tr>
    </w:tbl>
    <w:p>
      <w:pPr>
        <w:spacing w:after="0"/>
        <w:jc w:val="center"/>
      </w:pPr>
      <w:r>
        <w:drawing>
          <wp:inline xmlns:a="http://schemas.openxmlformats.org/drawingml/2006/main" xmlns:pic="http://schemas.openxmlformats.org/drawingml/2006/picture">
            <wp:extent cx="6012000" cy="3607200"/>
            <wp:docPr id="5" name="Picture 5" descr="Figure 5. Illustrative monthly cost comparison for five users." title="Figure 5. Illustrative monthly cost comparison for five users."/>
            <wp:cNvGraphicFramePr>
              <a:graphicFrameLocks noChangeAspect="1"/>
            </wp:cNvGraphicFramePr>
            <a:graphic>
              <a:graphicData uri="http://schemas.openxmlformats.org/drawingml/2006/picture">
                <pic:pic>
                  <pic:nvPicPr>
                    <pic:cNvPr id="0" name="cost_comparison.png"/>
                    <pic:cNvPicPr/>
                  </pic:nvPicPr>
                  <pic:blipFill>
                    <a:blip r:embed="rId15"/>
                    <a:stretch>
                      <a:fillRect/>
                    </a:stretch>
                  </pic:blipFill>
                  <pic:spPr>
                    <a:xfrm>
                      <a:off x="0" y="0"/>
                      <a:ext cx="6012000" cy="3607200"/>
                    </a:xfrm>
                    <a:prstGeom prst="rect"/>
                  </pic:spPr>
                </pic:pic>
              </a:graphicData>
            </a:graphic>
          </wp:inline>
        </w:drawing>
      </w:r>
    </w:p>
    <w:p>
      <w:pPr>
        <w:spacing w:before="60" w:after="160"/>
        <w:jc w:val="center"/>
      </w:pPr>
      <w:r>
        <w:rPr>
          <w:i/>
          <w:color w:val="52616B"/>
          <w:sz w:val="17"/>
        </w:rPr>
        <w:t>Figure 5. Illustrative monthly cost comparison for five users.</w:t>
      </w:r>
    </w:p>
    <w:p>
      <w:pPr>
        <w:pStyle w:val="Heading2"/>
        <w:keepNext/>
        <w:keepLines/>
      </w:pPr>
      <w:r>
        <w:t>6.5 Expected case with an operating allowance</w:t>
      </w:r>
    </w:p>
    <w:p>
      <w:pPr>
        <w:pStyle w:val="BodyText"/>
      </w:pPr>
      <w:r>
        <w:t>If management adds an illustrative US$25 per month allowance for internal hosting and monitoring, the expected monthly custom operating estimate becomes US$34.60. The difference from five Microsoft 365 Copilot enterprise seats becomes US$115.40 per month or US$1,384.80 per year. The US$25 allowance is not a vendor quote; replace it with the organization's actual server, monitoring and support allocation.</w:t>
      </w:r>
    </w:p>
    <w:p>
      <w:pPr>
        <w:pStyle w:val="Heading2"/>
        <w:keepNext/>
        <w:keepLines/>
      </w:pPr>
      <w:r>
        <w:t>6.6 Costs excluded from the headline saving</w:t>
      </w:r>
    </w:p>
    <w:p>
      <w:pPr>
        <w:pStyle w:val="ListBullet"/>
      </w:pPr>
      <w:r>
        <w:t>Initial software development, testing and documentation.</w:t>
      </w:r>
    </w:p>
    <w:p>
      <w:pPr>
        <w:pStyle w:val="ListBullet"/>
      </w:pPr>
      <w:r>
        <w:t>Ongoing maintenance when catalogs, standards, prompts, tools or APIs change.</w:t>
      </w:r>
    </w:p>
    <w:p>
      <w:pPr>
        <w:pStyle w:val="ListBullet"/>
      </w:pPr>
      <w:r>
        <w:t>Security review, access control, audit logging, secrets management and data-retention controls.</w:t>
      </w:r>
    </w:p>
    <w:p>
      <w:pPr>
        <w:pStyle w:val="ListBullet"/>
      </w:pPr>
      <w:r>
        <w:t>Internal server or cloud hosting, backups, networking and support desk time.</w:t>
      </w:r>
    </w:p>
    <w:p>
      <w:pPr>
        <w:pStyle w:val="ListBullet"/>
      </w:pPr>
      <w:r>
        <w:t>Existing GPU depreciation and electricity for local BGE-M3 embeddings.</w:t>
      </w:r>
    </w:p>
    <w:p>
      <w:pPr>
        <w:pStyle w:val="ListBullet"/>
      </w:pPr>
      <w:r>
        <w:t>Optional GPT Image 2 calls, which are explicit user-triggered actions.</w:t>
      </w:r>
    </w:p>
    <w:p>
      <w:pPr>
        <w:pStyle w:val="ListBullet"/>
      </w:pPr>
      <w:r>
        <w:t>Supplier engineering fees, laboratory tests, instrumentation and road trials.</w:t>
      </w:r>
    </w:p>
    <w:p>
      <w:pPr>
        <w:pStyle w:val="ListBullet"/>
      </w:pPr>
      <w:r>
        <w:t>Microsoft 365 qualifying-plan cost, regional taxes, currency conversion and negotiated enterprise discounts.</w:t>
      </w:r>
    </w:p>
    <w:p>
      <w:pPr>
        <w:pStyle w:val="Heading2"/>
        <w:keepNext/>
        <w:keepLines/>
      </w:pPr>
      <w:r>
        <w:t>6.7 How to obtain a procurement-grade cost</w:t>
      </w:r>
    </w:p>
    <w:p>
      <w:pPr>
        <w:pStyle w:val="ListNumber"/>
      </w:pPr>
      <w:r>
        <w:t>Log actual input and output tokens per assistant request for at least four weeks.</w:t>
      </w:r>
    </w:p>
    <w:p>
      <w:pPr>
        <w:pStyle w:val="ListNumber"/>
      </w:pPr>
      <w:r>
        <w:t>Count active users, daily requests, tool-only runs, RAG calls and image generations separately.</w:t>
      </w:r>
    </w:p>
    <w:p>
      <w:pPr>
        <w:pStyle w:val="ListNumber"/>
      </w:pPr>
      <w:r>
        <w:t>Add measured internal hosting, support, security and maintenance effort.</w:t>
      </w:r>
    </w:p>
    <w:p>
      <w:pPr>
        <w:pStyle w:val="ListNumber"/>
      </w:pPr>
      <w:r>
        <w:t>Obtain the organization's actual Microsoft enterprise quote and applicable qualifying licenses.</w:t>
      </w:r>
    </w:p>
    <w:p>
      <w:pPr>
        <w:pStyle w:val="ListNumber"/>
      </w:pPr>
      <w:r>
        <w:t>Compare total annual cost together with measured engineering time saved and error reduction.</w:t>
      </w:r>
    </w:p>
    <w:p>
      <w:pPr>
        <w:pStyle w:val="Heading1"/>
        <w:keepNext/>
        <w:keepLines/>
      </w:pPr>
      <w:r>
        <w:t>7. Business Value Beyond Subscription Cost</w:t>
      </w:r>
    </w:p>
    <w:p>
      <w:pPr>
        <w:pStyle w:val="Heading2"/>
        <w:keepNext/>
        <w:keepLines/>
      </w:pPr>
      <w:r>
        <w:t>7.1 Immediate workflow value</w:t>
      </w:r>
    </w:p>
    <w:tbl>
      <w:tblPr>
        <w:tblStyle w:val="TableGrid"/>
        <w:tblW w:type="auto" w:w="0"/>
        <w:tblLayout w:type="fixed"/>
        <w:tblLook w:firstColumn="1" w:firstRow="1" w:lastColumn="0" w:lastRow="0" w:noHBand="0" w:noVBand="1" w:val="04A0"/>
      </w:tblPr>
      <w:tblGrid>
        <w:gridCol w:w="3251"/>
        <w:gridCol w:w="3251"/>
        <w:gridCol w:w="3251"/>
      </w:tblGrid>
      <w:tr>
        <w:trPr>
          <w:trHeight w:hRule="atLeast"/>
          <w:tblHeader w:val="true"/>
        </w:trPr>
        <w:tc>
          <w:tcPr>
            <w:tcW w:type="dxa" w:w="2835"/>
            <w:shd w:fill="16324F"/>
            <w:tcMar>
              <w:top w:w="90" w:type="dxa"/>
              <w:start w:w="110" w:type="dxa"/>
              <w:bottom w:w="90" w:type="dxa"/>
              <w:end w:w="110" w:type="dxa"/>
            </w:tcMar>
            <w:vAlign w:val="center"/>
          </w:tcPr>
          <w:p>
            <w:pPr>
              <w:spacing w:after="0"/>
            </w:pPr>
            <w:r>
              <w:rPr>
                <w:b/>
                <w:color w:val="FFFFFF"/>
                <w:sz w:val="17"/>
              </w:rPr>
              <w:t>Current friction</w:t>
            </w:r>
          </w:p>
        </w:tc>
        <w:tc>
          <w:tcPr>
            <w:tcW w:type="dxa" w:w="3458"/>
            <w:shd w:fill="16324F"/>
            <w:tcMar>
              <w:top w:w="90" w:type="dxa"/>
              <w:start w:w="110" w:type="dxa"/>
              <w:bottom w:w="90" w:type="dxa"/>
              <w:end w:w="110" w:type="dxa"/>
            </w:tcMar>
            <w:vAlign w:val="center"/>
          </w:tcPr>
          <w:p>
            <w:pPr>
              <w:spacing w:after="0"/>
            </w:pPr>
            <w:r>
              <w:rPr>
                <w:b/>
                <w:color w:val="FFFFFF"/>
                <w:sz w:val="17"/>
              </w:rPr>
              <w:t>Shock Selector response</w:t>
            </w:r>
          </w:p>
        </w:tc>
        <w:tc>
          <w:tcPr>
            <w:tcW w:type="dxa" w:w="3175"/>
            <w:shd w:fill="16324F"/>
            <w:tcMar>
              <w:top w:w="90" w:type="dxa"/>
              <w:start w:w="110" w:type="dxa"/>
              <w:bottom w:w="90" w:type="dxa"/>
              <w:end w:w="110" w:type="dxa"/>
            </w:tcMar>
            <w:vAlign w:val="center"/>
          </w:tcPr>
          <w:p>
            <w:pPr>
              <w:spacing w:after="0"/>
            </w:pPr>
            <w:r>
              <w:rPr>
                <w:b/>
                <w:color w:val="FFFFFF"/>
                <w:sz w:val="17"/>
              </w:rPr>
              <w:t>Potential benefit</w:t>
            </w:r>
          </w:p>
        </w:tc>
      </w:tr>
      <w:tr>
        <w:trPr>
          <w:trHeight w:hRule="atLeast"/>
        </w:trPr>
        <w:tc>
          <w:tcPr>
            <w:tcW w:type="dxa" w:w="2835"/>
            <w:tcMar>
              <w:top w:w="90" w:type="dxa"/>
              <w:start w:w="110" w:type="dxa"/>
              <w:bottom w:w="90" w:type="dxa"/>
              <w:end w:w="110" w:type="dxa"/>
            </w:tcMar>
            <w:vAlign w:val="center"/>
          </w:tcPr>
          <w:p>
            <w:pPr>
              <w:spacing w:after="0"/>
            </w:pPr>
            <w:r>
              <w:rPr>
                <w:sz w:val="17"/>
              </w:rPr>
              <w:t>Repeated spreadsheet entry</w:t>
            </w:r>
          </w:p>
        </w:tc>
        <w:tc>
          <w:tcPr>
            <w:tcW w:type="dxa" w:w="3458"/>
            <w:tcMar>
              <w:top w:w="90" w:type="dxa"/>
              <w:start w:w="110" w:type="dxa"/>
              <w:bottom w:w="90" w:type="dxa"/>
              <w:end w:w="110" w:type="dxa"/>
            </w:tcMar>
            <w:vAlign w:val="center"/>
          </w:tcPr>
          <w:p>
            <w:pPr>
              <w:spacing w:after="0"/>
            </w:pPr>
            <w:r>
              <w:rPr>
                <w:sz w:val="17"/>
              </w:rPr>
              <w:t>Structured form and consistent equations</w:t>
            </w:r>
          </w:p>
        </w:tc>
        <w:tc>
          <w:tcPr>
            <w:tcW w:type="dxa" w:w="3175"/>
            <w:tcMar>
              <w:top w:w="90" w:type="dxa"/>
              <w:start w:w="110" w:type="dxa"/>
              <w:bottom w:w="90" w:type="dxa"/>
              <w:end w:w="110" w:type="dxa"/>
            </w:tcMar>
            <w:vAlign w:val="center"/>
          </w:tcPr>
          <w:p>
            <w:pPr>
              <w:spacing w:after="0"/>
            </w:pPr>
            <w:r>
              <w:rPr>
                <w:sz w:val="17"/>
              </w:rPr>
              <w:t>Lower re-entry effort and fewer unit mistakes</w:t>
            </w:r>
          </w:p>
        </w:tc>
      </w:tr>
      <w:tr>
        <w:trPr>
          <w:trHeight w:hRule="atLeast"/>
        </w:trPr>
        <w:tc>
          <w:tcPr>
            <w:tcW w:type="dxa" w:w="2835"/>
            <w:shd w:fill="F6F8FA"/>
            <w:tcMar>
              <w:top w:w="90" w:type="dxa"/>
              <w:start w:w="110" w:type="dxa"/>
              <w:bottom w:w="90" w:type="dxa"/>
              <w:end w:w="110" w:type="dxa"/>
            </w:tcMar>
            <w:vAlign w:val="center"/>
          </w:tcPr>
          <w:p>
            <w:pPr>
              <w:spacing w:after="0"/>
            </w:pPr>
            <w:r>
              <w:rPr>
                <w:sz w:val="17"/>
              </w:rPr>
              <w:t>Manual catalog comparison</w:t>
            </w:r>
          </w:p>
        </w:tc>
        <w:tc>
          <w:tcPr>
            <w:tcW w:type="dxa" w:w="3458"/>
            <w:shd w:fill="F6F8FA"/>
            <w:tcMar>
              <w:top w:w="90" w:type="dxa"/>
              <w:start w:w="110" w:type="dxa"/>
              <w:bottom w:w="90" w:type="dxa"/>
              <w:end w:w="110" w:type="dxa"/>
            </w:tcMar>
            <w:vAlign w:val="center"/>
          </w:tcPr>
          <w:p>
            <w:pPr>
              <w:spacing w:after="0"/>
            </w:pPr>
            <w:r>
              <w:rPr>
                <w:sz w:val="17"/>
              </w:rPr>
              <w:t>Automated four-case screening</w:t>
            </w:r>
          </w:p>
        </w:tc>
        <w:tc>
          <w:tcPr>
            <w:tcW w:type="dxa" w:w="3175"/>
            <w:shd w:fill="F6F8FA"/>
            <w:tcMar>
              <w:top w:w="90" w:type="dxa"/>
              <w:start w:w="110" w:type="dxa"/>
              <w:bottom w:w="90" w:type="dxa"/>
              <w:end w:w="110" w:type="dxa"/>
            </w:tcMar>
            <w:vAlign w:val="center"/>
          </w:tcPr>
          <w:p>
            <w:pPr>
              <w:spacing w:after="0"/>
            </w:pPr>
            <w:r>
              <w:rPr>
                <w:sz w:val="17"/>
              </w:rPr>
              <w:t>Faster first-pass recommendation</w:t>
            </w:r>
          </w:p>
        </w:tc>
      </w:tr>
      <w:tr>
        <w:trPr>
          <w:trHeight w:hRule="atLeast"/>
        </w:trPr>
        <w:tc>
          <w:tcPr>
            <w:tcW w:type="dxa" w:w="2835"/>
            <w:tcMar>
              <w:top w:w="90" w:type="dxa"/>
              <w:start w:w="110" w:type="dxa"/>
              <w:bottom w:w="90" w:type="dxa"/>
              <w:end w:w="110" w:type="dxa"/>
            </w:tcMar>
            <w:vAlign w:val="center"/>
          </w:tcPr>
          <w:p>
            <w:pPr>
              <w:spacing w:after="0"/>
            </w:pPr>
            <w:r>
              <w:rPr>
                <w:sz w:val="17"/>
              </w:rPr>
              <w:t>Result explanation depends on individual experience</w:t>
            </w:r>
          </w:p>
        </w:tc>
        <w:tc>
          <w:tcPr>
            <w:tcW w:type="dxa" w:w="3458"/>
            <w:tcMar>
              <w:top w:w="90" w:type="dxa"/>
              <w:start w:w="110" w:type="dxa"/>
              <w:bottom w:w="90" w:type="dxa"/>
              <w:end w:w="110" w:type="dxa"/>
            </w:tcMar>
            <w:vAlign w:val="center"/>
          </w:tcPr>
          <w:p>
            <w:pPr>
              <w:spacing w:after="0"/>
            </w:pPr>
            <w:r>
              <w:rPr>
                <w:sz w:val="17"/>
              </w:rPr>
              <w:t>Contextual assistant and governing-check summary</w:t>
            </w:r>
          </w:p>
        </w:tc>
        <w:tc>
          <w:tcPr>
            <w:tcW w:type="dxa" w:w="3175"/>
            <w:tcMar>
              <w:top w:w="90" w:type="dxa"/>
              <w:start w:w="110" w:type="dxa"/>
              <w:bottom w:w="90" w:type="dxa"/>
              <w:end w:w="110" w:type="dxa"/>
            </w:tcMar>
            <w:vAlign w:val="center"/>
          </w:tcPr>
          <w:p>
            <w:pPr>
              <w:spacing w:after="0"/>
            </w:pPr>
            <w:r>
              <w:rPr>
                <w:sz w:val="17"/>
              </w:rPr>
              <w:t>More consistent review and knowledge transfer</w:t>
            </w:r>
          </w:p>
        </w:tc>
      </w:tr>
      <w:tr>
        <w:trPr>
          <w:trHeight w:hRule="atLeast"/>
        </w:trPr>
        <w:tc>
          <w:tcPr>
            <w:tcW w:type="dxa" w:w="2835"/>
            <w:shd w:fill="F6F8FA"/>
            <w:tcMar>
              <w:top w:w="90" w:type="dxa"/>
              <w:start w:w="110" w:type="dxa"/>
              <w:bottom w:w="90" w:type="dxa"/>
              <w:end w:w="110" w:type="dxa"/>
            </w:tcMar>
            <w:vAlign w:val="center"/>
          </w:tcPr>
          <w:p>
            <w:pPr>
              <w:spacing w:after="0"/>
            </w:pPr>
            <w:r>
              <w:rPr>
                <w:sz w:val="17"/>
              </w:rPr>
              <w:t>Supplier enquiries vary by engineer</w:t>
            </w:r>
          </w:p>
        </w:tc>
        <w:tc>
          <w:tcPr>
            <w:tcW w:type="dxa" w:w="3458"/>
            <w:shd w:fill="F6F8FA"/>
            <w:tcMar>
              <w:top w:w="90" w:type="dxa"/>
              <w:start w:w="110" w:type="dxa"/>
              <w:bottom w:w="90" w:type="dxa"/>
              <w:end w:w="110" w:type="dxa"/>
            </w:tcMar>
            <w:vAlign w:val="center"/>
          </w:tcPr>
          <w:p>
            <w:pPr>
              <w:spacing w:after="0"/>
            </w:pPr>
            <w:r>
              <w:rPr>
                <w:sz w:val="17"/>
              </w:rPr>
              <w:t>Deterministic Word enquiry pack</w:t>
            </w:r>
          </w:p>
        </w:tc>
        <w:tc>
          <w:tcPr>
            <w:tcW w:type="dxa" w:w="3175"/>
            <w:shd w:fill="F6F8FA"/>
            <w:tcMar>
              <w:top w:w="90" w:type="dxa"/>
              <w:start w:w="110" w:type="dxa"/>
              <w:bottom w:w="90" w:type="dxa"/>
              <w:end w:w="110" w:type="dxa"/>
            </w:tcMar>
            <w:vAlign w:val="center"/>
          </w:tcPr>
          <w:p>
            <w:pPr>
              <w:spacing w:after="0"/>
            </w:pPr>
            <w:r>
              <w:rPr>
                <w:sz w:val="17"/>
              </w:rPr>
              <w:t>More complete and comparable supplier responses</w:t>
            </w:r>
          </w:p>
        </w:tc>
      </w:tr>
      <w:tr>
        <w:trPr>
          <w:trHeight w:hRule="atLeast"/>
        </w:trPr>
        <w:tc>
          <w:tcPr>
            <w:tcW w:type="dxa" w:w="2835"/>
            <w:tcMar>
              <w:top w:w="90" w:type="dxa"/>
              <w:start w:w="110" w:type="dxa"/>
              <w:bottom w:w="90" w:type="dxa"/>
              <w:end w:w="110" w:type="dxa"/>
            </w:tcMar>
            <w:vAlign w:val="center"/>
          </w:tcPr>
          <w:p>
            <w:pPr>
              <w:spacing w:after="0"/>
            </w:pPr>
            <w:r>
              <w:rPr>
                <w:sz w:val="17"/>
              </w:rPr>
              <w:t>Evidence is mixed with assumptions</w:t>
            </w:r>
          </w:p>
        </w:tc>
        <w:tc>
          <w:tcPr>
            <w:tcW w:type="dxa" w:w="3458"/>
            <w:tcMar>
              <w:top w:w="90" w:type="dxa"/>
              <w:start w:w="110" w:type="dxa"/>
              <w:bottom w:w="90" w:type="dxa"/>
              <w:end w:w="110" w:type="dxa"/>
            </w:tcMar>
            <w:vAlign w:val="center"/>
          </w:tcPr>
          <w:p>
            <w:pPr>
              <w:spacing w:after="0"/>
            </w:pPr>
            <w:r>
              <w:rPr>
                <w:sz w:val="17"/>
              </w:rPr>
              <w:t>Explicit evidence levels and missing-item list</w:t>
            </w:r>
          </w:p>
        </w:tc>
        <w:tc>
          <w:tcPr>
            <w:tcW w:type="dxa" w:w="3175"/>
            <w:tcMar>
              <w:top w:w="90" w:type="dxa"/>
              <w:start w:w="110" w:type="dxa"/>
              <w:bottom w:w="90" w:type="dxa"/>
              <w:end w:w="110" w:type="dxa"/>
            </w:tcMar>
            <w:vAlign w:val="center"/>
          </w:tcPr>
          <w:p>
            <w:pPr>
              <w:spacing w:after="0"/>
            </w:pPr>
            <w:r>
              <w:rPr>
                <w:sz w:val="17"/>
              </w:rPr>
              <w:t>Better traceability and handoff</w:t>
            </w:r>
          </w:p>
        </w:tc>
      </w:tr>
      <w:tr>
        <w:trPr>
          <w:trHeight w:hRule="atLeast"/>
        </w:trPr>
        <w:tc>
          <w:tcPr>
            <w:tcW w:type="dxa" w:w="2835"/>
            <w:shd w:fill="F6F8FA"/>
            <w:tcMar>
              <w:top w:w="90" w:type="dxa"/>
              <w:start w:w="110" w:type="dxa"/>
              <w:bottom w:w="90" w:type="dxa"/>
              <w:end w:w="110" w:type="dxa"/>
            </w:tcMar>
            <w:vAlign w:val="center"/>
          </w:tcPr>
          <w:p>
            <w:pPr>
              <w:spacing w:after="0"/>
            </w:pPr>
            <w:r>
              <w:rPr>
                <w:sz w:val="17"/>
              </w:rPr>
              <w:t>Visual explanation is time-consuming</w:t>
            </w:r>
          </w:p>
        </w:tc>
        <w:tc>
          <w:tcPr>
            <w:tcW w:type="dxa" w:w="3458"/>
            <w:shd w:fill="F6F8FA"/>
            <w:tcMar>
              <w:top w:w="90" w:type="dxa"/>
              <w:start w:w="110" w:type="dxa"/>
              <w:bottom w:w="90" w:type="dxa"/>
              <w:end w:w="110" w:type="dxa"/>
            </w:tcMar>
            <w:vAlign w:val="center"/>
          </w:tcPr>
          <w:p>
            <w:pPr>
              <w:spacing w:after="0"/>
            </w:pPr>
            <w:r>
              <w:rPr>
                <w:sz w:val="17"/>
              </w:rPr>
              <w:t>Controlled optional concept visual</w:t>
            </w:r>
          </w:p>
        </w:tc>
        <w:tc>
          <w:tcPr>
            <w:tcW w:type="dxa" w:w="3175"/>
            <w:shd w:fill="F6F8FA"/>
            <w:tcMar>
              <w:top w:w="90" w:type="dxa"/>
              <w:start w:w="110" w:type="dxa"/>
              <w:bottom w:w="90" w:type="dxa"/>
              <w:end w:w="110" w:type="dxa"/>
            </w:tcMar>
            <w:vAlign w:val="center"/>
          </w:tcPr>
          <w:p>
            <w:pPr>
              <w:spacing w:after="0"/>
            </w:pPr>
            <w:r>
              <w:rPr>
                <w:sz w:val="17"/>
              </w:rPr>
              <w:t>Faster client and training communication</w:t>
            </w:r>
          </w:p>
        </w:tc>
      </w:tr>
    </w:tbl>
    <w:p>
      <w:pPr>
        <w:pStyle w:val="Heading2"/>
        <w:keepNext/>
        <w:keepLines/>
      </w:pPr>
      <w:r>
        <w:t>7.2 Productivity saving formula</w:t>
      </w:r>
    </w:p>
    <w:p>
      <w:pPr>
        <w:pStyle w:val="BodyText"/>
      </w:pPr>
      <w:r>
        <w:t>Potential monthly labour saving = active engineers x working days x minutes saved per engineer per day / 60 x loaded hourly cost.</w:t>
      </w:r>
    </w:p>
    <w:p>
      <w:pPr>
        <w:pStyle w:val="BodyText"/>
      </w:pPr>
      <w:r>
        <w:t>Example only: if five engineers save ten minutes per day over twenty days, the workflow saves approximately 16.7 engineering hours per month. At an illustrative loaded rate of US$60 per hour, that is approximately US$1,000 per month or US$12,000 per year. This figure is not yet measured and must not be presented as a realized saving until a timed pilot is completed.</w:t>
      </w:r>
    </w:p>
    <w:p>
      <w:pPr>
        <w:pStyle w:val="Heading2"/>
        <w:keepNext/>
        <w:keepLines/>
      </w:pPr>
      <w:r>
        <w:t>7.3 Recommended pilot metrics</w:t>
      </w:r>
    </w:p>
    <w:p>
      <w:pPr>
        <w:pStyle w:val="ListBullet"/>
      </w:pPr>
      <w:r>
        <w:t>Median time from requirement receipt to first-pass part recommendation.</w:t>
      </w:r>
    </w:p>
    <w:p>
      <w:pPr>
        <w:pStyle w:val="ListBullet"/>
      </w:pPr>
      <w:r>
        <w:t>Number of manual spreadsheet cells or copy-and-paste actions avoided.</w:t>
      </w:r>
    </w:p>
    <w:p>
      <w:pPr>
        <w:pStyle w:val="ListBullet"/>
      </w:pPr>
      <w:r>
        <w:t>Rate of unit, parameter and omitted-input errors detected before supplier submission.</w:t>
      </w:r>
    </w:p>
    <w:p>
      <w:pPr>
        <w:pStyle w:val="ListBullet"/>
      </w:pPr>
      <w:r>
        <w:t>Percentage of supplier enquiry fields complete on first submission.</w:t>
      </w:r>
    </w:p>
    <w:p>
      <w:pPr>
        <w:pStyle w:val="ListBullet"/>
      </w:pPr>
      <w:r>
        <w:t>Agreement between software result, approved Excel calculation and supplier response.</w:t>
      </w:r>
    </w:p>
    <w:p>
      <w:pPr>
        <w:pStyle w:val="ListBullet"/>
      </w:pPr>
      <w:r>
        <w:t>False-safe, abstention and unsupported-claim rate in assistant responses.</w:t>
      </w:r>
    </w:p>
    <w:p>
      <w:pPr>
        <w:pStyle w:val="ListBullet"/>
      </w:pPr>
      <w:r>
        <w:t>User adoption, correction frequency and perceived review effort.</w:t>
      </w:r>
    </w:p>
    <w:p>
      <w:pPr>
        <w:pStyle w:val="ListBullet"/>
      </w:pPr>
      <w:r>
        <w:t>Actual GPT token and image-generation cost per completed enquiry.</w:t>
      </w:r>
    </w:p>
    <w:p>
      <w:pPr>
        <w:pStyle w:val="Heading1"/>
        <w:keepNext/>
        <w:keepLines/>
      </w:pPr>
      <w:r>
        <w:t>8. Risks, Controls and Deployment Conditions</w:t>
      </w:r>
    </w:p>
    <w:tbl>
      <w:tblPr>
        <w:tblStyle w:val="TableGrid"/>
        <w:tblW w:type="auto" w:w="0"/>
        <w:tblLayout w:type="fixed"/>
        <w:tblLook w:firstColumn="1" w:firstRow="1" w:lastColumn="0" w:lastRow="0" w:noHBand="0" w:noVBand="1" w:val="04A0"/>
      </w:tblPr>
      <w:tblGrid>
        <w:gridCol w:w="3251"/>
        <w:gridCol w:w="3251"/>
        <w:gridCol w:w="3251"/>
      </w:tblGrid>
      <w:tr>
        <w:trPr>
          <w:trHeight w:hRule="atLeast"/>
          <w:tblHeader w:val="true"/>
        </w:trPr>
        <w:tc>
          <w:tcPr>
            <w:tcW w:type="dxa" w:w="2041"/>
            <w:shd w:fill="16324F"/>
            <w:tcMar>
              <w:top w:w="90" w:type="dxa"/>
              <w:start w:w="110" w:type="dxa"/>
              <w:bottom w:w="90" w:type="dxa"/>
              <w:end w:w="110" w:type="dxa"/>
            </w:tcMar>
            <w:vAlign w:val="center"/>
          </w:tcPr>
          <w:p>
            <w:pPr>
              <w:spacing w:after="0"/>
            </w:pPr>
            <w:r>
              <w:rPr>
                <w:b/>
                <w:color w:val="FFFFFF"/>
                <w:sz w:val="16"/>
              </w:rPr>
              <w:t>Risk</w:t>
            </w:r>
          </w:p>
        </w:tc>
        <w:tc>
          <w:tcPr>
            <w:tcW w:type="dxa" w:w="3402"/>
            <w:shd w:fill="16324F"/>
            <w:tcMar>
              <w:top w:w="90" w:type="dxa"/>
              <w:start w:w="110" w:type="dxa"/>
              <w:bottom w:w="90" w:type="dxa"/>
              <w:end w:w="110" w:type="dxa"/>
            </w:tcMar>
            <w:vAlign w:val="center"/>
          </w:tcPr>
          <w:p>
            <w:pPr>
              <w:spacing w:after="0"/>
            </w:pPr>
            <w:r>
              <w:rPr>
                <w:b/>
                <w:color w:val="FFFFFF"/>
                <w:sz w:val="16"/>
              </w:rPr>
              <w:t>Current control</w:t>
            </w:r>
          </w:p>
        </w:tc>
        <w:tc>
          <w:tcPr>
            <w:tcW w:type="dxa" w:w="4025"/>
            <w:shd w:fill="16324F"/>
            <w:tcMar>
              <w:top w:w="90" w:type="dxa"/>
              <w:start w:w="110" w:type="dxa"/>
              <w:bottom w:w="90" w:type="dxa"/>
              <w:end w:w="110" w:type="dxa"/>
            </w:tcMar>
            <w:vAlign w:val="center"/>
          </w:tcPr>
          <w:p>
            <w:pPr>
              <w:spacing w:after="0"/>
            </w:pPr>
            <w:r>
              <w:rPr>
                <w:b/>
                <w:color w:val="FFFFFF"/>
                <w:sz w:val="16"/>
              </w:rPr>
              <w:t>Recommended deployment action</w:t>
            </w:r>
          </w:p>
        </w:tc>
      </w:tr>
      <w:tr>
        <w:trPr>
          <w:trHeight w:hRule="atLeast"/>
        </w:trPr>
        <w:tc>
          <w:tcPr>
            <w:tcW w:type="dxa" w:w="2041"/>
            <w:tcMar>
              <w:top w:w="90" w:type="dxa"/>
              <w:start w:w="110" w:type="dxa"/>
              <w:bottom w:w="90" w:type="dxa"/>
              <w:end w:w="110" w:type="dxa"/>
            </w:tcMar>
            <w:vAlign w:val="center"/>
          </w:tcPr>
          <w:p>
            <w:pPr>
              <w:spacing w:after="0"/>
            </w:pPr>
            <w:r>
              <w:rPr>
                <w:sz w:val="16"/>
              </w:rPr>
              <w:t>Incorrect input</w:t>
            </w:r>
          </w:p>
        </w:tc>
        <w:tc>
          <w:tcPr>
            <w:tcW w:type="dxa" w:w="3402"/>
            <w:tcMar>
              <w:top w:w="90" w:type="dxa"/>
              <w:start w:w="110" w:type="dxa"/>
              <w:bottom w:w="90" w:type="dxa"/>
              <w:end w:w="110" w:type="dxa"/>
            </w:tcMar>
            <w:vAlign w:val="center"/>
          </w:tcPr>
          <w:p>
            <w:pPr>
              <w:spacing w:after="0"/>
            </w:pPr>
            <w:r>
              <w:rPr>
                <w:sz w:val="16"/>
              </w:rPr>
              <w:t>Structured fields, units, hints and stale-result guard</w:t>
            </w:r>
          </w:p>
        </w:tc>
        <w:tc>
          <w:tcPr>
            <w:tcW w:type="dxa" w:w="4025"/>
            <w:tcMar>
              <w:top w:w="90" w:type="dxa"/>
              <w:start w:w="110" w:type="dxa"/>
              <w:bottom w:w="90" w:type="dxa"/>
              <w:end w:w="110" w:type="dxa"/>
            </w:tcMar>
            <w:vAlign w:val="center"/>
          </w:tcPr>
          <w:p>
            <w:pPr>
              <w:spacing w:after="0"/>
            </w:pPr>
            <w:r>
              <w:rPr>
                <w:sz w:val="16"/>
              </w:rPr>
              <w:t>Add project data review and named approver</w:t>
            </w:r>
          </w:p>
        </w:tc>
      </w:tr>
      <w:tr>
        <w:trPr>
          <w:trHeight w:hRule="atLeast"/>
        </w:trPr>
        <w:tc>
          <w:tcPr>
            <w:tcW w:type="dxa" w:w="2041"/>
            <w:shd w:fill="F6F8FA"/>
            <w:tcMar>
              <w:top w:w="90" w:type="dxa"/>
              <w:start w:w="110" w:type="dxa"/>
              <w:bottom w:w="90" w:type="dxa"/>
              <w:end w:w="110" w:type="dxa"/>
            </w:tcMar>
            <w:vAlign w:val="center"/>
          </w:tcPr>
          <w:p>
            <w:pPr>
              <w:spacing w:after="0"/>
            </w:pPr>
            <w:r>
              <w:rPr>
                <w:sz w:val="16"/>
              </w:rPr>
              <w:t>LLM invents a value</w:t>
            </w:r>
          </w:p>
        </w:tc>
        <w:tc>
          <w:tcPr>
            <w:tcW w:type="dxa" w:w="3402"/>
            <w:shd w:fill="F6F8FA"/>
            <w:tcMar>
              <w:top w:w="90" w:type="dxa"/>
              <w:start w:w="110" w:type="dxa"/>
              <w:bottom w:w="90" w:type="dxa"/>
              <w:end w:w="110" w:type="dxa"/>
            </w:tcMar>
            <w:vAlign w:val="center"/>
          </w:tcPr>
          <w:p>
            <w:pPr>
              <w:spacing w:after="0"/>
            </w:pPr>
            <w:r>
              <w:rPr>
                <w:sz w:val="16"/>
              </w:rPr>
              <w:t>OMIT rules, validation, deterministic tools and missing-input behaviour</w:t>
            </w:r>
          </w:p>
        </w:tc>
        <w:tc>
          <w:tcPr>
            <w:tcW w:type="dxa" w:w="4025"/>
            <w:shd w:fill="F6F8FA"/>
            <w:tcMar>
              <w:top w:w="90" w:type="dxa"/>
              <w:start w:w="110" w:type="dxa"/>
              <w:bottom w:w="90" w:type="dxa"/>
              <w:end w:w="110" w:type="dxa"/>
            </w:tcMar>
            <w:vAlign w:val="center"/>
          </w:tcPr>
          <w:p>
            <w:pPr>
              <w:spacing w:after="0"/>
            </w:pPr>
            <w:r>
              <w:rPr>
                <w:sz w:val="16"/>
              </w:rPr>
              <w:t>Monitor traces and retain assurance feedback</w:t>
            </w:r>
          </w:p>
        </w:tc>
      </w:tr>
      <w:tr>
        <w:trPr>
          <w:trHeight w:hRule="atLeast"/>
        </w:trPr>
        <w:tc>
          <w:tcPr>
            <w:tcW w:type="dxa" w:w="2041"/>
            <w:tcMar>
              <w:top w:w="90" w:type="dxa"/>
              <w:start w:w="110" w:type="dxa"/>
              <w:bottom w:w="90" w:type="dxa"/>
              <w:end w:w="110" w:type="dxa"/>
            </w:tcMar>
            <w:vAlign w:val="center"/>
          </w:tcPr>
          <w:p>
            <w:pPr>
              <w:spacing w:after="0"/>
            </w:pPr>
            <w:r>
              <w:rPr>
                <w:sz w:val="16"/>
              </w:rPr>
              <w:t>Outdated catalog or standard</w:t>
            </w:r>
          </w:p>
        </w:tc>
        <w:tc>
          <w:tcPr>
            <w:tcW w:type="dxa" w:w="3402"/>
            <w:tcMar>
              <w:top w:w="90" w:type="dxa"/>
              <w:start w:w="110" w:type="dxa"/>
              <w:bottom w:w="90" w:type="dxa"/>
              <w:end w:w="110" w:type="dxa"/>
            </w:tcMar>
            <w:vAlign w:val="center"/>
          </w:tcPr>
          <w:p>
            <w:pPr>
              <w:spacing w:after="0"/>
            </w:pPr>
            <w:r>
              <w:rPr>
                <w:sz w:val="16"/>
              </w:rPr>
              <w:t>Versioned corpus and frozen evaluation artifacts</w:t>
            </w:r>
          </w:p>
        </w:tc>
        <w:tc>
          <w:tcPr>
            <w:tcW w:type="dxa" w:w="4025"/>
            <w:tcMar>
              <w:top w:w="90" w:type="dxa"/>
              <w:start w:w="110" w:type="dxa"/>
              <w:bottom w:w="90" w:type="dxa"/>
              <w:end w:w="110" w:type="dxa"/>
            </w:tcMar>
            <w:vAlign w:val="center"/>
          </w:tcPr>
          <w:p>
            <w:pPr>
              <w:spacing w:after="0"/>
            </w:pPr>
            <w:r>
              <w:rPr>
                <w:sz w:val="16"/>
              </w:rPr>
              <w:t>Assign an owner and change-control process</w:t>
            </w:r>
          </w:p>
        </w:tc>
      </w:tr>
      <w:tr>
        <w:trPr>
          <w:trHeight w:hRule="atLeast"/>
        </w:trPr>
        <w:tc>
          <w:tcPr>
            <w:tcW w:type="dxa" w:w="2041"/>
            <w:shd w:fill="F6F8FA"/>
            <w:tcMar>
              <w:top w:w="90" w:type="dxa"/>
              <w:start w:w="110" w:type="dxa"/>
              <w:bottom w:w="90" w:type="dxa"/>
              <w:end w:w="110" w:type="dxa"/>
            </w:tcMar>
            <w:vAlign w:val="center"/>
          </w:tcPr>
          <w:p>
            <w:pPr>
              <w:spacing w:after="0"/>
            </w:pPr>
            <w:r>
              <w:rPr>
                <w:sz w:val="16"/>
              </w:rPr>
              <w:t>Unsupported physical claim</w:t>
            </w:r>
          </w:p>
        </w:tc>
        <w:tc>
          <w:tcPr>
            <w:tcW w:type="dxa" w:w="3402"/>
            <w:shd w:fill="F6F8FA"/>
            <w:tcMar>
              <w:top w:w="90" w:type="dxa"/>
              <w:start w:w="110" w:type="dxa"/>
              <w:bottom w:w="90" w:type="dxa"/>
              <w:end w:w="110" w:type="dxa"/>
            </w:tcMar>
            <w:vAlign w:val="center"/>
          </w:tcPr>
          <w:p>
            <w:pPr>
              <w:spacing w:after="0"/>
            </w:pPr>
            <w:r>
              <w:rPr>
                <w:sz w:val="16"/>
              </w:rPr>
              <w:t>Evidence-boundary tables and supplier-confirmation warnings</w:t>
            </w:r>
          </w:p>
        </w:tc>
        <w:tc>
          <w:tcPr>
            <w:tcW w:type="dxa" w:w="4025"/>
            <w:shd w:fill="F6F8FA"/>
            <w:tcMar>
              <w:top w:w="90" w:type="dxa"/>
              <w:start w:w="110" w:type="dxa"/>
              <w:bottom w:w="90" w:type="dxa"/>
              <w:end w:w="110" w:type="dxa"/>
            </w:tcMar>
            <w:vAlign w:val="center"/>
          </w:tcPr>
          <w:p>
            <w:pPr>
              <w:spacing w:after="0"/>
            </w:pPr>
            <w:r>
              <w:rPr>
                <w:sz w:val="16"/>
              </w:rPr>
              <w:t>Require supplier/lab/road evidence before release</w:t>
            </w:r>
          </w:p>
        </w:tc>
      </w:tr>
      <w:tr>
        <w:trPr>
          <w:trHeight w:hRule="atLeast"/>
        </w:trPr>
        <w:tc>
          <w:tcPr>
            <w:tcW w:type="dxa" w:w="2041"/>
            <w:tcMar>
              <w:top w:w="90" w:type="dxa"/>
              <w:start w:w="110" w:type="dxa"/>
              <w:bottom w:w="90" w:type="dxa"/>
              <w:end w:w="110" w:type="dxa"/>
            </w:tcMar>
            <w:vAlign w:val="center"/>
          </w:tcPr>
          <w:p>
            <w:pPr>
              <w:spacing w:after="0"/>
            </w:pPr>
            <w:r>
              <w:rPr>
                <w:sz w:val="16"/>
              </w:rPr>
              <w:t>Cloud data exposure</w:t>
            </w:r>
          </w:p>
        </w:tc>
        <w:tc>
          <w:tcPr>
            <w:tcW w:type="dxa" w:w="3402"/>
            <w:tcMar>
              <w:top w:w="90" w:type="dxa"/>
              <w:start w:w="110" w:type="dxa"/>
              <w:bottom w:w="90" w:type="dxa"/>
              <w:end w:w="110" w:type="dxa"/>
            </w:tcMar>
            <w:vAlign w:val="center"/>
          </w:tcPr>
          <w:p>
            <w:pPr>
              <w:spacing w:after="0"/>
            </w:pPr>
            <w:r>
              <w:rPr>
                <w:sz w:val="16"/>
              </w:rPr>
              <w:t>Local embeddings; approved OpenAI path for chat/image</w:t>
            </w:r>
          </w:p>
        </w:tc>
        <w:tc>
          <w:tcPr>
            <w:tcW w:type="dxa" w:w="4025"/>
            <w:tcMar>
              <w:top w:w="90" w:type="dxa"/>
              <w:start w:w="110" w:type="dxa"/>
              <w:bottom w:w="90" w:type="dxa"/>
              <w:end w:w="110" w:type="dxa"/>
            </w:tcMar>
            <w:vAlign w:val="center"/>
          </w:tcPr>
          <w:p>
            <w:pPr>
              <w:spacing w:after="0"/>
            </w:pPr>
            <w:r>
              <w:rPr>
                <w:sz w:val="16"/>
              </w:rPr>
              <w:t>Confirm enterprise API terms, retention, region and approved data classes</w:t>
            </w:r>
          </w:p>
        </w:tc>
      </w:tr>
      <w:tr>
        <w:trPr>
          <w:trHeight w:hRule="atLeast"/>
        </w:trPr>
        <w:tc>
          <w:tcPr>
            <w:tcW w:type="dxa" w:w="2041"/>
            <w:shd w:fill="F6F8FA"/>
            <w:tcMar>
              <w:top w:w="90" w:type="dxa"/>
              <w:start w:w="110" w:type="dxa"/>
              <w:bottom w:w="90" w:type="dxa"/>
              <w:end w:w="110" w:type="dxa"/>
            </w:tcMar>
            <w:vAlign w:val="center"/>
          </w:tcPr>
          <w:p>
            <w:pPr>
              <w:spacing w:after="0"/>
            </w:pPr>
            <w:r>
              <w:rPr>
                <w:sz w:val="16"/>
              </w:rPr>
              <w:t>Cost growth</w:t>
            </w:r>
          </w:p>
        </w:tc>
        <w:tc>
          <w:tcPr>
            <w:tcW w:type="dxa" w:w="3402"/>
            <w:shd w:fill="F6F8FA"/>
            <w:tcMar>
              <w:top w:w="90" w:type="dxa"/>
              <w:start w:w="110" w:type="dxa"/>
              <w:bottom w:w="90" w:type="dxa"/>
              <w:end w:w="110" w:type="dxa"/>
            </w:tcMar>
            <w:vAlign w:val="center"/>
          </w:tcPr>
          <w:p>
            <w:pPr>
              <w:spacing w:after="0"/>
            </w:pPr>
            <w:r>
              <w:rPr>
                <w:sz w:val="16"/>
              </w:rPr>
              <w:t>Usage-based pricing and explicit image action</w:t>
            </w:r>
          </w:p>
        </w:tc>
        <w:tc>
          <w:tcPr>
            <w:tcW w:type="dxa" w:w="4025"/>
            <w:shd w:fill="F6F8FA"/>
            <w:tcMar>
              <w:top w:w="90" w:type="dxa"/>
              <w:start w:w="110" w:type="dxa"/>
              <w:bottom w:w="90" w:type="dxa"/>
              <w:end w:w="110" w:type="dxa"/>
            </w:tcMar>
            <w:vAlign w:val="center"/>
          </w:tcPr>
          <w:p>
            <w:pPr>
              <w:spacing w:after="0"/>
            </w:pPr>
            <w:r>
              <w:rPr>
                <w:sz w:val="16"/>
              </w:rPr>
              <w:t>Set spend limits and monthly usage dashboard</w:t>
            </w:r>
          </w:p>
        </w:tc>
      </w:tr>
      <w:tr>
        <w:trPr>
          <w:trHeight w:hRule="atLeast"/>
        </w:trPr>
        <w:tc>
          <w:tcPr>
            <w:tcW w:type="dxa" w:w="2041"/>
            <w:tcMar>
              <w:top w:w="90" w:type="dxa"/>
              <w:start w:w="110" w:type="dxa"/>
              <w:bottom w:w="90" w:type="dxa"/>
              <w:end w:w="110" w:type="dxa"/>
            </w:tcMar>
            <w:vAlign w:val="center"/>
          </w:tcPr>
          <w:p>
            <w:pPr>
              <w:spacing w:after="0"/>
            </w:pPr>
            <w:r>
              <w:rPr>
                <w:sz w:val="16"/>
              </w:rPr>
              <w:t>Single developer dependency</w:t>
            </w:r>
          </w:p>
        </w:tc>
        <w:tc>
          <w:tcPr>
            <w:tcW w:type="dxa" w:w="3402"/>
            <w:tcMar>
              <w:top w:w="90" w:type="dxa"/>
              <w:start w:w="110" w:type="dxa"/>
              <w:bottom w:w="90" w:type="dxa"/>
              <w:end w:w="110" w:type="dxa"/>
            </w:tcMar>
            <w:vAlign w:val="center"/>
          </w:tcPr>
          <w:p>
            <w:pPr>
              <w:spacing w:after="0"/>
            </w:pPr>
            <w:r>
              <w:rPr>
                <w:sz w:val="16"/>
              </w:rPr>
              <w:t>Tests, documentation, manifests and reproducible environment</w:t>
            </w:r>
          </w:p>
        </w:tc>
        <w:tc>
          <w:tcPr>
            <w:tcW w:type="dxa" w:w="4025"/>
            <w:tcMar>
              <w:top w:w="90" w:type="dxa"/>
              <w:start w:w="110" w:type="dxa"/>
              <w:bottom w:w="90" w:type="dxa"/>
              <w:end w:w="110" w:type="dxa"/>
            </w:tcMar>
            <w:vAlign w:val="center"/>
          </w:tcPr>
          <w:p>
            <w:pPr>
              <w:spacing w:after="0"/>
            </w:pPr>
            <w:r>
              <w:rPr>
                <w:sz w:val="16"/>
              </w:rPr>
              <w:t>Create maintenance runbook and second maintainer</w:t>
            </w:r>
          </w:p>
        </w:tc>
      </w:tr>
    </w:tbl>
    <w:p>
      <w:pPr>
        <w:pStyle w:val="Heading2"/>
        <w:keepNext/>
        <w:keepLines/>
      </w:pPr>
      <w:r>
        <w:t>8.1 Recommended positioning for management</w:t>
      </w:r>
    </w:p>
    <w:tbl>
      <w:tblPr>
        <w:tblW w:type="auto" w:w="0"/>
        <w:tblLayout w:type="fixed"/>
        <w:tblLook w:firstColumn="1" w:firstRow="1" w:lastColumn="0" w:lastRow="0" w:noHBand="0" w:noVBand="1" w:val="04A0"/>
      </w:tblPr>
      <w:tblGrid>
        <w:gridCol w:w="142"/>
        <w:gridCol w:w="9354"/>
      </w:tblGrid>
      <w:tr>
        <w:trPr>
          <w:tblHeader w:val="true"/>
        </w:trPr>
        <w:tc>
          <w:tcPr>
            <w:tcW w:type="dxa" w:w="4876"/>
            <w:shd w:fill="2E7D32"/>
            <w:tcMar>
              <w:top w:w="0" w:type="dxa"/>
              <w:start w:w="0" w:type="dxa"/>
              <w:bottom w:w="0" w:type="dxa"/>
              <w:end w:w="0" w:type="dxa"/>
            </w:tcMar>
          </w:tcPr>
          <w:p/>
        </w:tc>
        <w:tc>
          <w:tcPr>
            <w:tcW w:type="dxa" w:w="4876"/>
            <w:shd w:fill="EAF5EA"/>
            <w:tcMar>
              <w:top w:w="120" w:type="dxa"/>
              <w:start w:w="150" w:type="dxa"/>
              <w:bottom w:w="120" w:type="dxa"/>
              <w:end w:w="150" w:type="dxa"/>
            </w:tcMar>
            <w:vAlign w:val="center"/>
          </w:tcPr>
          <w:p>
            <w:pPr>
              <w:spacing w:after="60"/>
            </w:pPr>
            <w:r>
              <w:rPr>
                <w:b/>
                <w:color w:val="2E7D32"/>
              </w:rPr>
              <w:t>Positioning statement</w:t>
            </w:r>
          </w:p>
          <w:p>
            <w:pPr>
              <w:spacing w:after="0"/>
            </w:pPr>
            <w:r>
              <w:t>The Shock Selector is a focused engineering decision-support product that combines validated calculations, bounded company knowledge and a language interface. It complements broad enterprise copilots by owning one high-value workflow end to end.</w:t>
            </w:r>
          </w:p>
        </w:tc>
      </w:tr>
    </w:tbl>
    <w:p>
      <w:pPr>
        <w:pStyle w:val="Heading1"/>
        <w:keepNext/>
        <w:keepLines/>
      </w:pPr>
      <w:r>
        <w:t>9. Conclusion</w:t>
      </w:r>
    </w:p>
    <w:p>
      <w:pPr>
        <w:pStyle w:val="BodyText"/>
      </w:pPr>
      <w:r>
        <w:t>The principal advantage of the Shock Selector is not that it uses a different language model from Microsoft Copilot. Its advantage is the system around the model: structured engineering inputs, validated deterministic calculations, controlled catalog rules, current UI context, bounded local retrieval, evidence classification and workflow-specific outputs.</w:t>
      </w:r>
    </w:p>
    <w:p>
      <w:pPr>
        <w:pStyle w:val="BodyText"/>
      </w:pPr>
      <w:r>
        <w:t>For a five-person team using only this shock-isolation workflow, the expected GPT-5.4 mini token cost is much lower than five Microsoft 365 Copilot enterprise seats. The expected marginal difference is approximately US$140.40 per month or US$1,684.80 per year before hosting, maintenance and governance costs. The application therefore has a credible cost case as a specialist tool, provided that management evaluates total ownership cost and does not treat it as a substitute for Microsoft 365 Copilot's broader capabilities.</w:t>
      </w:r>
    </w:p>
    <w:p>
      <w:pPr>
        <w:pStyle w:val="BodyText"/>
      </w:pPr>
      <w:r>
        <w:t>The next commercial step is a measured five-user pilot. Instrument actual token use and task time, compare outputs with the approved Excel method and supplier reports, and track user corrections. That pilot converts the illustrative business case into defensible operational evidence.</w:t>
      </w:r>
    </w:p>
    <w:p>
      <w:pPr>
        <w:pStyle w:val="Heading1"/>
        <w:keepNext/>
        <w:keepLines/>
      </w:pPr>
      <w:r>
        <w:t>Appendix A - Glossary</w:t>
      </w:r>
    </w:p>
    <w:tbl>
      <w:tblPr>
        <w:tblStyle w:val="TableGrid"/>
        <w:tblW w:type="auto" w:w="0"/>
        <w:tblLayout w:type="fixed"/>
        <w:tblLook w:firstColumn="1" w:firstRow="1" w:lastColumn="0" w:lastRow="0" w:noHBand="0" w:noVBand="1" w:val="04A0"/>
      </w:tblPr>
      <w:tblGrid>
        <w:gridCol w:w="4876"/>
        <w:gridCol w:w="4876"/>
      </w:tblGrid>
      <w:tr>
        <w:trPr>
          <w:trHeight w:hRule="atLeast"/>
          <w:tblHeader w:val="true"/>
        </w:trPr>
        <w:tc>
          <w:tcPr>
            <w:tcW w:type="dxa" w:w="2324"/>
            <w:shd w:fill="16324F"/>
            <w:tcMar>
              <w:top w:w="90" w:type="dxa"/>
              <w:start w:w="110" w:type="dxa"/>
              <w:bottom w:w="90" w:type="dxa"/>
              <w:end w:w="110" w:type="dxa"/>
            </w:tcMar>
            <w:vAlign w:val="center"/>
          </w:tcPr>
          <w:p>
            <w:pPr>
              <w:spacing w:after="0"/>
            </w:pPr>
            <w:r>
              <w:rPr>
                <w:b/>
                <w:color w:val="FFFFFF"/>
                <w:sz w:val="17"/>
              </w:rPr>
              <w:t>Term</w:t>
            </w:r>
          </w:p>
        </w:tc>
        <w:tc>
          <w:tcPr>
            <w:tcW w:type="dxa" w:w="7143"/>
            <w:shd w:fill="16324F"/>
            <w:tcMar>
              <w:top w:w="90" w:type="dxa"/>
              <w:start w:w="110" w:type="dxa"/>
              <w:bottom w:w="90" w:type="dxa"/>
              <w:end w:w="110" w:type="dxa"/>
            </w:tcMar>
            <w:vAlign w:val="center"/>
          </w:tcPr>
          <w:p>
            <w:pPr>
              <w:spacing w:after="0"/>
            </w:pPr>
            <w:r>
              <w:rPr>
                <w:b/>
                <w:color w:val="FFFFFF"/>
                <w:sz w:val="17"/>
              </w:rPr>
              <w:t>Meaning in this system</w:t>
            </w:r>
          </w:p>
        </w:tc>
      </w:tr>
      <w:tr>
        <w:trPr>
          <w:trHeight w:hRule="atLeast"/>
        </w:trPr>
        <w:tc>
          <w:tcPr>
            <w:tcW w:type="dxa" w:w="2324"/>
            <w:tcMar>
              <w:top w:w="90" w:type="dxa"/>
              <w:start w:w="110" w:type="dxa"/>
              <w:bottom w:w="90" w:type="dxa"/>
              <w:end w:w="110" w:type="dxa"/>
            </w:tcMar>
            <w:vAlign w:val="center"/>
          </w:tcPr>
          <w:p>
            <w:pPr>
              <w:spacing w:after="0"/>
            </w:pPr>
            <w:r>
              <w:rPr>
                <w:sz w:val="17"/>
              </w:rPr>
              <w:t>Ao</w:t>
            </w:r>
          </w:p>
        </w:tc>
        <w:tc>
          <w:tcPr>
            <w:tcW w:type="dxa" w:w="7143"/>
            <w:tcMar>
              <w:top w:w="90" w:type="dxa"/>
              <w:start w:w="110" w:type="dxa"/>
              <w:bottom w:w="90" w:type="dxa"/>
              <w:end w:w="110" w:type="dxa"/>
            </w:tcMar>
            <w:vAlign w:val="center"/>
          </w:tcPr>
          <w:p>
            <w:pPr>
              <w:spacing w:after="0"/>
            </w:pPr>
            <w:r>
              <w:rPr>
                <w:sz w:val="17"/>
              </w:rPr>
              <w:t>Input shock acceleration in multiples of gravitational acceleration.</w:t>
            </w:r>
          </w:p>
        </w:tc>
      </w:tr>
      <w:tr>
        <w:trPr>
          <w:trHeight w:hRule="atLeast"/>
        </w:trPr>
        <w:tc>
          <w:tcPr>
            <w:tcW w:type="dxa" w:w="2324"/>
            <w:shd w:fill="F6F8FA"/>
            <w:tcMar>
              <w:top w:w="90" w:type="dxa"/>
              <w:start w:w="110" w:type="dxa"/>
              <w:bottom w:w="90" w:type="dxa"/>
              <w:end w:w="110" w:type="dxa"/>
            </w:tcMar>
            <w:vAlign w:val="center"/>
          </w:tcPr>
          <w:p>
            <w:pPr>
              <w:spacing w:after="0"/>
            </w:pPr>
            <w:r>
              <w:rPr>
                <w:sz w:val="17"/>
              </w:rPr>
              <w:t>GT</w:t>
            </w:r>
          </w:p>
        </w:tc>
        <w:tc>
          <w:tcPr>
            <w:tcW w:type="dxa" w:w="7143"/>
            <w:shd w:fill="F6F8FA"/>
            <w:tcMar>
              <w:top w:w="90" w:type="dxa"/>
              <w:start w:w="110" w:type="dxa"/>
              <w:bottom w:w="90" w:type="dxa"/>
              <w:end w:w="110" w:type="dxa"/>
            </w:tcMar>
            <w:vAlign w:val="center"/>
          </w:tcPr>
          <w:p>
            <w:pPr>
              <w:spacing w:after="0"/>
            </w:pPr>
            <w:r>
              <w:rPr>
                <w:sz w:val="17"/>
              </w:rPr>
              <w:t>Calculated transmitted acceleration at the protected equipment.</w:t>
            </w:r>
          </w:p>
        </w:tc>
      </w:tr>
      <w:tr>
        <w:trPr>
          <w:trHeight w:hRule="atLeast"/>
        </w:trPr>
        <w:tc>
          <w:tcPr>
            <w:tcW w:type="dxa" w:w="2324"/>
            <w:tcMar>
              <w:top w:w="90" w:type="dxa"/>
              <w:start w:w="110" w:type="dxa"/>
              <w:bottom w:w="90" w:type="dxa"/>
              <w:end w:w="110" w:type="dxa"/>
            </w:tcMar>
            <w:vAlign w:val="center"/>
          </w:tcPr>
          <w:p>
            <w:pPr>
              <w:spacing w:after="0"/>
            </w:pPr>
            <w:r>
              <w:rPr>
                <w:sz w:val="17"/>
              </w:rPr>
              <w:t>fn</w:t>
            </w:r>
          </w:p>
        </w:tc>
        <w:tc>
          <w:tcPr>
            <w:tcW w:type="dxa" w:w="7143"/>
            <w:tcMar>
              <w:top w:w="90" w:type="dxa"/>
              <w:start w:w="110" w:type="dxa"/>
              <w:bottom w:w="90" w:type="dxa"/>
              <w:end w:w="110" w:type="dxa"/>
            </w:tcMar>
            <w:vAlign w:val="center"/>
          </w:tcPr>
          <w:p>
            <w:pPr>
              <w:spacing w:after="0"/>
            </w:pPr>
            <w:r>
              <w:rPr>
                <w:sz w:val="17"/>
              </w:rPr>
              <w:t>Natural frequency of the mass and directional isolator stiffness for a load case.</w:t>
            </w:r>
          </w:p>
        </w:tc>
      </w:tr>
      <w:tr>
        <w:trPr>
          <w:trHeight w:hRule="atLeast"/>
        </w:trPr>
        <w:tc>
          <w:tcPr>
            <w:tcW w:type="dxa" w:w="2324"/>
            <w:shd w:fill="F6F8FA"/>
            <w:tcMar>
              <w:top w:w="90" w:type="dxa"/>
              <w:start w:w="110" w:type="dxa"/>
              <w:bottom w:w="90" w:type="dxa"/>
              <w:end w:w="110" w:type="dxa"/>
            </w:tcMar>
            <w:vAlign w:val="center"/>
          </w:tcPr>
          <w:p>
            <w:pPr>
              <w:spacing w:after="0"/>
            </w:pPr>
            <w:r>
              <w:rPr>
                <w:sz w:val="17"/>
              </w:rPr>
              <w:t>Movement / peak deflection</w:t>
            </w:r>
          </w:p>
        </w:tc>
        <w:tc>
          <w:tcPr>
            <w:tcW w:type="dxa" w:w="7143"/>
            <w:shd w:fill="F6F8FA"/>
            <w:tcMar>
              <w:top w:w="90" w:type="dxa"/>
              <w:start w:w="110" w:type="dxa"/>
              <w:bottom w:w="90" w:type="dxa"/>
              <w:end w:w="110" w:type="dxa"/>
            </w:tcMar>
            <w:vAlign w:val="center"/>
          </w:tcPr>
          <w:p>
            <w:pPr>
              <w:spacing w:after="0"/>
            </w:pPr>
            <w:r>
              <w:rPr>
                <w:sz w:val="17"/>
              </w:rPr>
              <w:t>Calculated displacement demand during the idealized shock.</w:t>
            </w:r>
          </w:p>
        </w:tc>
      </w:tr>
      <w:tr>
        <w:trPr>
          <w:trHeight w:hRule="atLeast"/>
        </w:trPr>
        <w:tc>
          <w:tcPr>
            <w:tcW w:type="dxa" w:w="2324"/>
            <w:tcMar>
              <w:top w:w="90" w:type="dxa"/>
              <w:start w:w="110" w:type="dxa"/>
              <w:bottom w:w="90" w:type="dxa"/>
              <w:end w:w="110" w:type="dxa"/>
            </w:tcMar>
            <w:vAlign w:val="center"/>
          </w:tcPr>
          <w:p>
            <w:pPr>
              <w:spacing w:after="0"/>
            </w:pPr>
            <w:r>
              <w:rPr>
                <w:sz w:val="17"/>
              </w:rPr>
              <w:t>Binding constraint</w:t>
            </w:r>
          </w:p>
        </w:tc>
        <w:tc>
          <w:tcPr>
            <w:tcW w:type="dxa" w:w="7143"/>
            <w:tcMar>
              <w:top w:w="90" w:type="dxa"/>
              <w:start w:w="110" w:type="dxa"/>
              <w:bottom w:w="90" w:type="dxa"/>
              <w:end w:w="110" w:type="dxa"/>
            </w:tcMar>
            <w:vAlign w:val="center"/>
          </w:tcPr>
          <w:p>
            <w:pPr>
              <w:spacing w:after="0"/>
            </w:pPr>
            <w:r>
              <w:rPr>
                <w:sz w:val="17"/>
              </w:rPr>
              <w:t>Constraint closest to its permitted limit.</w:t>
            </w:r>
          </w:p>
        </w:tc>
      </w:tr>
      <w:tr>
        <w:trPr>
          <w:trHeight w:hRule="atLeast"/>
        </w:trPr>
        <w:tc>
          <w:tcPr>
            <w:tcW w:type="dxa" w:w="2324"/>
            <w:shd w:fill="F6F8FA"/>
            <w:tcMar>
              <w:top w:w="90" w:type="dxa"/>
              <w:start w:w="110" w:type="dxa"/>
              <w:bottom w:w="90" w:type="dxa"/>
              <w:end w:w="110" w:type="dxa"/>
            </w:tcMar>
            <w:vAlign w:val="center"/>
          </w:tcPr>
          <w:p>
            <w:pPr>
              <w:spacing w:after="0"/>
            </w:pPr>
            <w:r>
              <w:rPr>
                <w:sz w:val="17"/>
              </w:rPr>
              <w:t>False-safe</w:t>
            </w:r>
          </w:p>
        </w:tc>
        <w:tc>
          <w:tcPr>
            <w:tcW w:type="dxa" w:w="7143"/>
            <w:shd w:fill="F6F8FA"/>
            <w:tcMar>
              <w:top w:w="90" w:type="dxa"/>
              <w:start w:w="110" w:type="dxa"/>
              <w:bottom w:w="90" w:type="dxa"/>
              <w:end w:w="110" w:type="dxa"/>
            </w:tcMar>
            <w:vAlign w:val="center"/>
          </w:tcPr>
          <w:p>
            <w:pPr>
              <w:spacing w:after="0"/>
            </w:pPr>
            <w:r>
              <w:rPr>
                <w:sz w:val="17"/>
              </w:rPr>
              <w:t>Software returns PASS when the gold engineering verdict is FAIL.</w:t>
            </w:r>
          </w:p>
        </w:tc>
      </w:tr>
      <w:tr>
        <w:trPr>
          <w:trHeight w:hRule="atLeast"/>
        </w:trPr>
        <w:tc>
          <w:tcPr>
            <w:tcW w:type="dxa" w:w="2324"/>
            <w:tcMar>
              <w:top w:w="90" w:type="dxa"/>
              <w:start w:w="110" w:type="dxa"/>
              <w:bottom w:w="90" w:type="dxa"/>
              <w:end w:w="110" w:type="dxa"/>
            </w:tcMar>
            <w:vAlign w:val="center"/>
          </w:tcPr>
          <w:p>
            <w:pPr>
              <w:spacing w:after="0"/>
            </w:pPr>
            <w:r>
              <w:rPr>
                <w:sz w:val="17"/>
              </w:rPr>
              <w:t>Tool calling</w:t>
            </w:r>
          </w:p>
        </w:tc>
        <w:tc>
          <w:tcPr>
            <w:tcW w:type="dxa" w:w="7143"/>
            <w:tcMar>
              <w:top w:w="90" w:type="dxa"/>
              <w:start w:w="110" w:type="dxa"/>
              <w:bottom w:w="90" w:type="dxa"/>
              <w:end w:w="110" w:type="dxa"/>
            </w:tcMar>
            <w:vAlign w:val="center"/>
          </w:tcPr>
          <w:p>
            <w:pPr>
              <w:spacing w:after="0"/>
            </w:pPr>
            <w:r>
              <w:rPr>
                <w:sz w:val="17"/>
              </w:rPr>
              <w:t>LLM returns a structured request for an approved Python function.</w:t>
            </w:r>
          </w:p>
        </w:tc>
      </w:tr>
      <w:tr>
        <w:trPr>
          <w:trHeight w:hRule="atLeast"/>
        </w:trPr>
        <w:tc>
          <w:tcPr>
            <w:tcW w:type="dxa" w:w="2324"/>
            <w:shd w:fill="F6F8FA"/>
            <w:tcMar>
              <w:top w:w="90" w:type="dxa"/>
              <w:start w:w="110" w:type="dxa"/>
              <w:bottom w:w="90" w:type="dxa"/>
              <w:end w:w="110" w:type="dxa"/>
            </w:tcMar>
            <w:vAlign w:val="center"/>
          </w:tcPr>
          <w:p>
            <w:pPr>
              <w:spacing w:after="0"/>
            </w:pPr>
            <w:r>
              <w:rPr>
                <w:sz w:val="17"/>
              </w:rPr>
              <w:t>RAG</w:t>
            </w:r>
          </w:p>
        </w:tc>
        <w:tc>
          <w:tcPr>
            <w:tcW w:type="dxa" w:w="7143"/>
            <w:shd w:fill="F6F8FA"/>
            <w:tcMar>
              <w:top w:w="90" w:type="dxa"/>
              <w:start w:w="110" w:type="dxa"/>
              <w:bottom w:w="90" w:type="dxa"/>
              <w:end w:w="110" w:type="dxa"/>
            </w:tcMar>
            <w:vAlign w:val="center"/>
          </w:tcPr>
          <w:p>
            <w:pPr>
              <w:spacing w:after="0"/>
            </w:pPr>
            <w:r>
              <w:rPr>
                <w:sz w:val="17"/>
              </w:rPr>
              <w:t>Retrieval-augmented generation: selected external passages are added to the model context.</w:t>
            </w:r>
          </w:p>
        </w:tc>
      </w:tr>
      <w:tr>
        <w:trPr>
          <w:trHeight w:hRule="atLeast"/>
        </w:trPr>
        <w:tc>
          <w:tcPr>
            <w:tcW w:type="dxa" w:w="2324"/>
            <w:tcMar>
              <w:top w:w="90" w:type="dxa"/>
              <w:start w:w="110" w:type="dxa"/>
              <w:bottom w:w="90" w:type="dxa"/>
              <w:end w:w="110" w:type="dxa"/>
            </w:tcMar>
            <w:vAlign w:val="center"/>
          </w:tcPr>
          <w:p>
            <w:pPr>
              <w:spacing w:after="0"/>
            </w:pPr>
            <w:r>
              <w:rPr>
                <w:sz w:val="17"/>
              </w:rPr>
              <w:t>Embedding</w:t>
            </w:r>
          </w:p>
        </w:tc>
        <w:tc>
          <w:tcPr>
            <w:tcW w:type="dxa" w:w="7143"/>
            <w:tcMar>
              <w:top w:w="90" w:type="dxa"/>
              <w:start w:w="110" w:type="dxa"/>
              <w:bottom w:w="90" w:type="dxa"/>
              <w:end w:w="110" w:type="dxa"/>
            </w:tcMar>
            <w:vAlign w:val="center"/>
          </w:tcPr>
          <w:p>
            <w:pPr>
              <w:spacing w:after="0"/>
            </w:pPr>
            <w:r>
              <w:rPr>
                <w:sz w:val="17"/>
              </w:rPr>
              <w:t>Numerical vector used to compare semantic similarity between a question and knowledge chunks.</w:t>
            </w:r>
          </w:p>
        </w:tc>
      </w:tr>
      <w:tr>
        <w:trPr>
          <w:trHeight w:hRule="atLeast"/>
        </w:trPr>
        <w:tc>
          <w:tcPr>
            <w:tcW w:type="dxa" w:w="2324"/>
            <w:shd w:fill="F6F8FA"/>
            <w:tcMar>
              <w:top w:w="90" w:type="dxa"/>
              <w:start w:w="110" w:type="dxa"/>
              <w:bottom w:w="90" w:type="dxa"/>
              <w:end w:w="110" w:type="dxa"/>
            </w:tcMar>
            <w:vAlign w:val="center"/>
          </w:tcPr>
          <w:p>
            <w:pPr>
              <w:spacing w:after="0"/>
            </w:pPr>
            <w:r>
              <w:rPr>
                <w:sz w:val="17"/>
              </w:rPr>
              <w:t>Analysis snapshot</w:t>
            </w:r>
          </w:p>
        </w:tc>
        <w:tc>
          <w:tcPr>
            <w:tcW w:type="dxa" w:w="7143"/>
            <w:shd w:fill="F6F8FA"/>
            <w:tcMar>
              <w:top w:w="90" w:type="dxa"/>
              <w:start w:w="110" w:type="dxa"/>
              <w:bottom w:w="90" w:type="dxa"/>
              <w:end w:w="110" w:type="dxa"/>
            </w:tcMar>
            <w:vAlign w:val="center"/>
          </w:tcPr>
          <w:p>
            <w:pPr>
              <w:spacing w:after="0"/>
            </w:pPr>
            <w:r>
              <w:rPr>
                <w:sz w:val="17"/>
              </w:rPr>
              <w:t>Immutable structured summary of the current calculation used by contextual actions.</w:t>
            </w:r>
          </w:p>
        </w:tc>
      </w:tr>
      <w:tr>
        <w:trPr>
          <w:trHeight w:hRule="atLeast"/>
        </w:trPr>
        <w:tc>
          <w:tcPr>
            <w:tcW w:type="dxa" w:w="2324"/>
            <w:tcMar>
              <w:top w:w="90" w:type="dxa"/>
              <w:start w:w="110" w:type="dxa"/>
              <w:bottom w:w="90" w:type="dxa"/>
              <w:end w:w="110" w:type="dxa"/>
            </w:tcMar>
            <w:vAlign w:val="center"/>
          </w:tcPr>
          <w:p>
            <w:pPr>
              <w:spacing w:after="0"/>
            </w:pPr>
            <w:r>
              <w:rPr>
                <w:sz w:val="17"/>
              </w:rPr>
              <w:t>Stale result</w:t>
            </w:r>
          </w:p>
        </w:tc>
        <w:tc>
          <w:tcPr>
            <w:tcW w:type="dxa" w:w="7143"/>
            <w:tcMar>
              <w:top w:w="90" w:type="dxa"/>
              <w:start w:w="110" w:type="dxa"/>
              <w:bottom w:w="90" w:type="dxa"/>
              <w:end w:w="110" w:type="dxa"/>
            </w:tcMar>
            <w:vAlign w:val="center"/>
          </w:tcPr>
          <w:p>
            <w:pPr>
              <w:spacing w:after="0"/>
            </w:pPr>
            <w:r>
              <w:rPr>
                <w:sz w:val="17"/>
              </w:rPr>
              <w:t>Stored result whose analysis key no longer matches the visible inputs.</w:t>
            </w:r>
          </w:p>
        </w:tc>
      </w:tr>
    </w:tbl>
    <w:p>
      <w:pPr>
        <w:pStyle w:val="Heading1"/>
        <w:keepNext/>
        <w:keepLines/>
      </w:pPr>
      <w:r>
        <w:t>Appendix B - Evidence and Source Locations</w:t>
      </w:r>
    </w:p>
    <w:tbl>
      <w:tblPr>
        <w:tblStyle w:val="TableGrid"/>
        <w:tblW w:type="auto" w:w="0"/>
        <w:tblLayout w:type="fixed"/>
        <w:tblLook w:firstColumn="1" w:firstRow="1" w:lastColumn="0" w:lastRow="0" w:noHBand="0" w:noVBand="1" w:val="04A0"/>
      </w:tblPr>
      <w:tblGrid>
        <w:gridCol w:w="4876"/>
        <w:gridCol w:w="4876"/>
      </w:tblGrid>
      <w:tr>
        <w:trPr>
          <w:trHeight w:hRule="atLeast"/>
          <w:tblHeader w:val="true"/>
        </w:trPr>
        <w:tc>
          <w:tcPr>
            <w:tcW w:type="dxa" w:w="3061"/>
            <w:shd w:fill="16324F"/>
            <w:tcMar>
              <w:top w:w="90" w:type="dxa"/>
              <w:start w:w="110" w:type="dxa"/>
              <w:bottom w:w="90" w:type="dxa"/>
              <w:end w:w="110" w:type="dxa"/>
            </w:tcMar>
            <w:vAlign w:val="center"/>
          </w:tcPr>
          <w:p>
            <w:pPr>
              <w:spacing w:after="0"/>
            </w:pPr>
            <w:r>
              <w:rPr>
                <w:b/>
                <w:color w:val="FFFFFF"/>
                <w:sz w:val="16"/>
              </w:rPr>
              <w:t>Evidence</w:t>
            </w:r>
          </w:p>
        </w:tc>
        <w:tc>
          <w:tcPr>
            <w:tcW w:type="dxa" w:w="6406"/>
            <w:shd w:fill="16324F"/>
            <w:tcMar>
              <w:top w:w="90" w:type="dxa"/>
              <w:start w:w="110" w:type="dxa"/>
              <w:bottom w:w="90" w:type="dxa"/>
              <w:end w:w="110" w:type="dxa"/>
            </w:tcMar>
            <w:vAlign w:val="center"/>
          </w:tcPr>
          <w:p>
            <w:pPr>
              <w:spacing w:after="0"/>
            </w:pPr>
            <w:r>
              <w:rPr>
                <w:b/>
                <w:color w:val="FFFFFF"/>
                <w:sz w:val="16"/>
              </w:rPr>
              <w:t>Repository or web location</w:t>
            </w:r>
          </w:p>
        </w:tc>
      </w:tr>
      <w:tr>
        <w:trPr>
          <w:trHeight w:hRule="atLeast"/>
        </w:trPr>
        <w:tc>
          <w:tcPr>
            <w:tcW w:type="dxa" w:w="3061"/>
            <w:tcMar>
              <w:top w:w="90" w:type="dxa"/>
              <w:start w:w="110" w:type="dxa"/>
              <w:bottom w:w="90" w:type="dxa"/>
              <w:end w:w="110" w:type="dxa"/>
            </w:tcMar>
            <w:vAlign w:val="center"/>
          </w:tcPr>
          <w:p>
            <w:pPr>
              <w:spacing w:after="0"/>
            </w:pPr>
            <w:r>
              <w:rPr>
                <w:sz w:val="16"/>
              </w:rPr>
              <w:t>Current Shock Selector implementation</w:t>
            </w:r>
          </w:p>
        </w:tc>
        <w:tc>
          <w:tcPr>
            <w:tcW w:type="dxa" w:w="6406"/>
            <w:tcMar>
              <w:top w:w="90" w:type="dxa"/>
              <w:start w:w="110" w:type="dxa"/>
              <w:bottom w:w="90" w:type="dxa"/>
              <w:end w:w="110" w:type="dxa"/>
            </w:tcMar>
            <w:vAlign w:val="center"/>
          </w:tcPr>
          <w:p>
            <w:pPr>
              <w:spacing w:after="0"/>
            </w:pPr>
            <w:r>
              <w:rPr>
                <w:sz w:val="16"/>
              </w:rPr>
              <w:t>C:\Users\qujia\Documents\GitHub\CAD-Agent-MPD\app.py</w:t>
            </w:r>
          </w:p>
        </w:tc>
      </w:tr>
      <w:tr>
        <w:trPr>
          <w:trHeight w:hRule="atLeast"/>
        </w:trPr>
        <w:tc>
          <w:tcPr>
            <w:tcW w:type="dxa" w:w="3061"/>
            <w:shd w:fill="F6F8FA"/>
            <w:tcMar>
              <w:top w:w="90" w:type="dxa"/>
              <w:start w:w="110" w:type="dxa"/>
              <w:bottom w:w="90" w:type="dxa"/>
              <w:end w:w="110" w:type="dxa"/>
            </w:tcMar>
            <w:vAlign w:val="center"/>
          </w:tcPr>
          <w:p>
            <w:pPr>
              <w:spacing w:after="0"/>
            </w:pPr>
            <w:r>
              <w:rPr>
                <w:sz w:val="16"/>
              </w:rPr>
              <w:t>Physics engine</w:t>
            </w:r>
          </w:p>
        </w:tc>
        <w:tc>
          <w:tcPr>
            <w:tcW w:type="dxa" w:w="6406"/>
            <w:shd w:fill="F6F8FA"/>
            <w:tcMar>
              <w:top w:w="90" w:type="dxa"/>
              <w:start w:w="110" w:type="dxa"/>
              <w:bottom w:w="90" w:type="dxa"/>
              <w:end w:w="110" w:type="dxa"/>
            </w:tcMar>
            <w:vAlign w:val="center"/>
          </w:tcPr>
          <w:p>
            <w:pPr>
              <w:spacing w:after="0"/>
            </w:pPr>
            <w:r>
              <w:rPr>
                <w:sz w:val="16"/>
              </w:rPr>
              <w:t>C:\Users\qujia\Documents\GitHub\CAD-Agent-MPD\physics_engine.py</w:t>
            </w:r>
          </w:p>
        </w:tc>
      </w:tr>
      <w:tr>
        <w:trPr>
          <w:trHeight w:hRule="atLeast"/>
        </w:trPr>
        <w:tc>
          <w:tcPr>
            <w:tcW w:type="dxa" w:w="3061"/>
            <w:tcMar>
              <w:top w:w="90" w:type="dxa"/>
              <w:start w:w="110" w:type="dxa"/>
              <w:bottom w:w="90" w:type="dxa"/>
              <w:end w:w="110" w:type="dxa"/>
            </w:tcMar>
            <w:vAlign w:val="center"/>
          </w:tcPr>
          <w:p>
            <w:pPr>
              <w:spacing w:after="0"/>
            </w:pPr>
            <w:r>
              <w:rPr>
                <w:sz w:val="16"/>
              </w:rPr>
              <w:t>Catalog and selection rules</w:t>
            </w:r>
          </w:p>
        </w:tc>
        <w:tc>
          <w:tcPr>
            <w:tcW w:type="dxa" w:w="6406"/>
            <w:tcMar>
              <w:top w:w="90" w:type="dxa"/>
              <w:start w:w="110" w:type="dxa"/>
              <w:bottom w:w="90" w:type="dxa"/>
              <w:end w:w="110" w:type="dxa"/>
            </w:tcMar>
            <w:vAlign w:val="center"/>
          </w:tcPr>
          <w:p>
            <w:pPr>
              <w:spacing w:after="0"/>
            </w:pPr>
            <w:r>
              <w:rPr>
                <w:sz w:val="16"/>
              </w:rPr>
              <w:t>C:\Users\qujia\Documents\GitHub\CAD-Agent-MPD\catalog.py</w:t>
            </w:r>
          </w:p>
        </w:tc>
      </w:tr>
      <w:tr>
        <w:trPr>
          <w:trHeight w:hRule="atLeast"/>
        </w:trPr>
        <w:tc>
          <w:tcPr>
            <w:tcW w:type="dxa" w:w="3061"/>
            <w:shd w:fill="F6F8FA"/>
            <w:tcMar>
              <w:top w:w="90" w:type="dxa"/>
              <w:start w:w="110" w:type="dxa"/>
              <w:bottom w:w="90" w:type="dxa"/>
              <w:end w:w="110" w:type="dxa"/>
            </w:tcMar>
            <w:vAlign w:val="center"/>
          </w:tcPr>
          <w:p>
            <w:pPr>
              <w:spacing w:after="0"/>
            </w:pPr>
            <w:r>
              <w:rPr>
                <w:sz w:val="16"/>
              </w:rPr>
              <w:t>Assistant tools and prompts</w:t>
            </w:r>
          </w:p>
        </w:tc>
        <w:tc>
          <w:tcPr>
            <w:tcW w:type="dxa" w:w="6406"/>
            <w:shd w:fill="F6F8FA"/>
            <w:tcMar>
              <w:top w:w="90" w:type="dxa"/>
              <w:start w:w="110" w:type="dxa"/>
              <w:bottom w:w="90" w:type="dxa"/>
              <w:end w:w="110" w:type="dxa"/>
            </w:tcMar>
            <w:vAlign w:val="center"/>
          </w:tcPr>
          <w:p>
            <w:pPr>
              <w:spacing w:after="0"/>
            </w:pPr>
            <w:r>
              <w:rPr>
                <w:sz w:val="16"/>
              </w:rPr>
              <w:t>C:\Users\qujia\Documents\GitHub\CAD-Agent-MPD\agent.py</w:t>
            </w:r>
          </w:p>
        </w:tc>
      </w:tr>
      <w:tr>
        <w:trPr>
          <w:trHeight w:hRule="atLeast"/>
        </w:trPr>
        <w:tc>
          <w:tcPr>
            <w:tcW w:type="dxa" w:w="3061"/>
            <w:tcMar>
              <w:top w:w="90" w:type="dxa"/>
              <w:start w:w="110" w:type="dxa"/>
              <w:bottom w:w="90" w:type="dxa"/>
              <w:end w:w="110" w:type="dxa"/>
            </w:tcMar>
            <w:vAlign w:val="center"/>
          </w:tcPr>
          <w:p>
            <w:pPr>
              <w:spacing w:after="0"/>
            </w:pPr>
            <w:r>
              <w:rPr>
                <w:sz w:val="16"/>
              </w:rPr>
              <w:t>Supplier pack generator</w:t>
            </w:r>
          </w:p>
        </w:tc>
        <w:tc>
          <w:tcPr>
            <w:tcW w:type="dxa" w:w="6406"/>
            <w:tcMar>
              <w:top w:w="90" w:type="dxa"/>
              <w:start w:w="110" w:type="dxa"/>
              <w:bottom w:w="90" w:type="dxa"/>
              <w:end w:w="110" w:type="dxa"/>
            </w:tcMar>
            <w:vAlign w:val="center"/>
          </w:tcPr>
          <w:p>
            <w:pPr>
              <w:spacing w:after="0"/>
            </w:pPr>
            <w:r>
              <w:rPr>
                <w:sz w:val="16"/>
              </w:rPr>
              <w:t>C:\Users\qujia\Documents\GitHub\CAD-Agent-MPD\supplier_enquiry_report.py</w:t>
            </w:r>
          </w:p>
        </w:tc>
      </w:tr>
      <w:tr>
        <w:trPr>
          <w:trHeight w:hRule="atLeast"/>
        </w:trPr>
        <w:tc>
          <w:tcPr>
            <w:tcW w:type="dxa" w:w="3061"/>
            <w:shd w:fill="F6F8FA"/>
            <w:tcMar>
              <w:top w:w="90" w:type="dxa"/>
              <w:start w:w="110" w:type="dxa"/>
              <w:bottom w:w="90" w:type="dxa"/>
              <w:end w:w="110" w:type="dxa"/>
            </w:tcMar>
            <w:vAlign w:val="center"/>
          </w:tcPr>
          <w:p>
            <w:pPr>
              <w:spacing w:after="0"/>
            </w:pPr>
            <w:r>
              <w:rPr>
                <w:sz w:val="16"/>
              </w:rPr>
              <w:t>Explanatory image boundary</w:t>
            </w:r>
          </w:p>
        </w:tc>
        <w:tc>
          <w:tcPr>
            <w:tcW w:type="dxa" w:w="6406"/>
            <w:shd w:fill="F6F8FA"/>
            <w:tcMar>
              <w:top w:w="90" w:type="dxa"/>
              <w:start w:w="110" w:type="dxa"/>
              <w:bottom w:w="90" w:type="dxa"/>
              <w:end w:w="110" w:type="dxa"/>
            </w:tcMar>
            <w:vAlign w:val="center"/>
          </w:tcPr>
          <w:p>
            <w:pPr>
              <w:spacing w:after="0"/>
            </w:pPr>
            <w:r>
              <w:rPr>
                <w:sz w:val="16"/>
              </w:rPr>
              <w:t>C:\Users\qujia\Documents\GitHub\CAD-Agent-MPD\shock_concept_image.py</w:t>
            </w:r>
          </w:p>
        </w:tc>
      </w:tr>
      <w:tr>
        <w:trPr>
          <w:trHeight w:hRule="atLeast"/>
        </w:trPr>
        <w:tc>
          <w:tcPr>
            <w:tcW w:type="dxa" w:w="3061"/>
            <w:tcMar>
              <w:top w:w="90" w:type="dxa"/>
              <w:start w:w="110" w:type="dxa"/>
              <w:bottom w:w="90" w:type="dxa"/>
              <w:end w:w="110" w:type="dxa"/>
            </w:tcMar>
            <w:vAlign w:val="center"/>
          </w:tcPr>
          <w:p>
            <w:pPr>
              <w:spacing w:after="0"/>
            </w:pPr>
            <w:r>
              <w:rPr>
                <w:sz w:val="16"/>
              </w:rPr>
              <w:t>Formal evaluation verification</w:t>
            </w:r>
          </w:p>
        </w:tc>
        <w:tc>
          <w:tcPr>
            <w:tcW w:type="dxa" w:w="6406"/>
            <w:tcMar>
              <w:top w:w="90" w:type="dxa"/>
              <w:start w:w="110" w:type="dxa"/>
              <w:bottom w:w="90" w:type="dxa"/>
              <w:end w:w="110" w:type="dxa"/>
            </w:tcMar>
            <w:vAlign w:val="center"/>
          </w:tcPr>
          <w:p>
            <w:pPr>
              <w:spacing w:after="0"/>
            </w:pPr>
            <w:r>
              <w:rPr>
                <w:sz w:val="16"/>
              </w:rPr>
              <w:t>C:\Users\qujia\Documents\GitHub\CAD-Agent-MPD\evaluation\FINAL_RELEASE_VERIFICATION.md</w:t>
            </w:r>
          </w:p>
        </w:tc>
      </w:tr>
      <w:tr>
        <w:trPr>
          <w:trHeight w:hRule="atLeast"/>
        </w:trPr>
        <w:tc>
          <w:tcPr>
            <w:tcW w:type="dxa" w:w="3061"/>
            <w:shd w:fill="F6F8FA"/>
            <w:tcMar>
              <w:top w:w="90" w:type="dxa"/>
              <w:start w:w="110" w:type="dxa"/>
              <w:bottom w:w="90" w:type="dxa"/>
              <w:end w:w="110" w:type="dxa"/>
            </w:tcMar>
            <w:vAlign w:val="center"/>
          </w:tcPr>
          <w:p>
            <w:pPr>
              <w:spacing w:after="0"/>
            </w:pPr>
            <w:r>
              <w:rPr>
                <w:sz w:val="16"/>
              </w:rPr>
              <w:t>Frozen evaluation record</w:t>
            </w:r>
          </w:p>
        </w:tc>
        <w:tc>
          <w:tcPr>
            <w:tcW w:type="dxa" w:w="6406"/>
            <w:shd w:fill="F6F8FA"/>
            <w:tcMar>
              <w:top w:w="90" w:type="dxa"/>
              <w:start w:w="110" w:type="dxa"/>
              <w:bottom w:w="90" w:type="dxa"/>
              <w:end w:w="110" w:type="dxa"/>
            </w:tcMar>
            <w:vAlign w:val="center"/>
          </w:tcPr>
          <w:p>
            <w:pPr>
              <w:spacing w:after="0"/>
            </w:pPr>
            <w:r>
              <w:rPr>
                <w:sz w:val="16"/>
              </w:rPr>
              <w:t>C:\Users\qujia\Documents\GitHub\CAD-Agent-MPD\evaluation\FREEZE.md</w:t>
            </w:r>
          </w:p>
        </w:tc>
      </w:tr>
      <w:tr>
        <w:trPr>
          <w:trHeight w:hRule="atLeast"/>
        </w:trPr>
        <w:tc>
          <w:tcPr>
            <w:tcW w:type="dxa" w:w="3061"/>
            <w:tcMar>
              <w:top w:w="90" w:type="dxa"/>
              <w:start w:w="110" w:type="dxa"/>
              <w:bottom w:w="90" w:type="dxa"/>
              <w:end w:w="110" w:type="dxa"/>
            </w:tcMar>
            <w:vAlign w:val="center"/>
          </w:tcPr>
          <w:p>
            <w:pPr>
              <w:spacing w:after="0"/>
            </w:pPr>
            <w:r>
              <w:rPr>
                <w:sz w:val="16"/>
              </w:rPr>
              <w:t>Shock knowledge corpus</w:t>
            </w:r>
          </w:p>
        </w:tc>
        <w:tc>
          <w:tcPr>
            <w:tcW w:type="dxa" w:w="6406"/>
            <w:tcMar>
              <w:top w:w="90" w:type="dxa"/>
              <w:start w:w="110" w:type="dxa"/>
              <w:bottom w:w="90" w:type="dxa"/>
              <w:end w:w="110" w:type="dxa"/>
            </w:tcMar>
            <w:vAlign w:val="center"/>
          </w:tcPr>
          <w:p>
            <w:pPr>
              <w:spacing w:after="0"/>
            </w:pPr>
            <w:r>
              <w:rPr>
                <w:sz w:val="16"/>
              </w:rPr>
              <w:t>C:\Users\qujia\Documents\GitHub\CAD-Agent-MPD\knowledge\shock_mount</w:t>
            </w:r>
          </w:p>
        </w:tc>
      </w:tr>
    </w:tbl>
    <w:p>
      <w:pPr>
        <w:pStyle w:val="Heading1"/>
        <w:keepNext/>
        <w:keepLines/>
      </w:pPr>
      <w:r>
        <w:t>Appendix C - External Pricing Sources</w:t>
      </w:r>
    </w:p>
    <w:p>
      <w:pPr>
        <w:pStyle w:val="BodyText"/>
      </w:pPr>
      <w:r>
        <w:rPr>
          <w:b/>
        </w:rPr>
        <w:t xml:space="preserve">[1] Microsoft. Microsoft 365 Copilot plans and pricing for enterprise. </w:t>
      </w:r>
      <w:hyperlink r:id="rId16">
        <w:r>
          <w:rPr>
            <w:color w:val="2E74B5"/>
            <w:u w:val="single"/>
          </w:rPr>
          <w:t>Microsoft enterprise pricing page</w:t>
        </w:r>
      </w:hyperlink>
      <w:r>
        <w:t xml:space="preserve"> Accessed 27 July 2026.</w:t>
      </w:r>
    </w:p>
    <w:p>
      <w:pPr>
        <w:pStyle w:val="BodyText"/>
      </w:pPr>
      <w:r>
        <w:rPr>
          <w:b/>
        </w:rPr>
        <w:t xml:space="preserve">[2] OpenAI. GPT-5.4 mini model documentation and token pricing. </w:t>
      </w:r>
      <w:hyperlink r:id="rId17">
        <w:r>
          <w:rPr>
            <w:color w:val="2E74B5"/>
            <w:u w:val="single"/>
          </w:rPr>
          <w:t>OpenAI GPT-5.4 mini model page</w:t>
        </w:r>
      </w:hyperlink>
      <w:r>
        <w:t xml:space="preserve"> Accessed 27 July 2026.</w:t>
      </w:r>
    </w:p>
    <w:p>
      <w:pPr>
        <w:pStyle w:val="BodyText"/>
      </w:pPr>
      <w:r>
        <w:rPr>
          <w:b/>
        </w:rPr>
        <w:t xml:space="preserve">[3] Project evidence. Final Evaluation Release Verification. </w:t>
      </w:r>
      <w:r>
        <w:t>C:\Users\qujia\Documents\GitHub\CAD-Agent-MPD\evaluation\FINAL_RELEASE_VERIFICATION.md</w:t>
      </w:r>
    </w:p>
    <w:p>
      <w:pPr>
        <w:pStyle w:val="Heading1"/>
        <w:keepNext/>
        <w:keepLines/>
      </w:pPr>
      <w:r>
        <w:t>Appendix D - Cost Worksheet</w:t>
      </w:r>
    </w:p>
    <w:tbl>
      <w:tblPr>
        <w:tblStyle w:val="TableGrid"/>
        <w:tblW w:type="auto" w:w="0"/>
        <w:tblLayout w:type="fixed"/>
        <w:tblLook w:firstColumn="1" w:firstRow="1" w:lastColumn="0" w:lastRow="0" w:noHBand="0" w:noVBand="1" w:val="04A0"/>
      </w:tblPr>
      <w:tblGrid>
        <w:gridCol w:w="3251"/>
        <w:gridCol w:w="3251"/>
        <w:gridCol w:w="3251"/>
      </w:tblGrid>
      <w:tr>
        <w:trPr>
          <w:trHeight w:hRule="atLeast"/>
          <w:tblHeader w:val="true"/>
        </w:trPr>
        <w:tc>
          <w:tcPr>
            <w:tcW w:type="dxa" w:w="3515"/>
            <w:shd w:fill="16324F"/>
            <w:tcMar>
              <w:top w:w="90" w:type="dxa"/>
              <w:start w:w="110" w:type="dxa"/>
              <w:bottom w:w="90" w:type="dxa"/>
              <w:end w:w="110" w:type="dxa"/>
            </w:tcMar>
            <w:vAlign w:val="center"/>
          </w:tcPr>
          <w:p>
            <w:pPr>
              <w:spacing w:after="0"/>
            </w:pPr>
            <w:r>
              <w:rPr>
                <w:b/>
                <w:color w:val="FFFFFF"/>
                <w:sz w:val="17"/>
              </w:rPr>
              <w:t>Variable</w:t>
            </w:r>
          </w:p>
        </w:tc>
        <w:tc>
          <w:tcPr>
            <w:tcW w:type="dxa" w:w="2835"/>
            <w:shd w:fill="16324F"/>
            <w:tcMar>
              <w:top w:w="90" w:type="dxa"/>
              <w:start w:w="110" w:type="dxa"/>
              <w:bottom w:w="90" w:type="dxa"/>
              <w:end w:w="110" w:type="dxa"/>
            </w:tcMar>
            <w:vAlign w:val="center"/>
          </w:tcPr>
          <w:p>
            <w:pPr>
              <w:spacing w:after="0"/>
            </w:pPr>
            <w:r>
              <w:rPr>
                <w:b/>
                <w:color w:val="FFFFFF"/>
                <w:sz w:val="17"/>
              </w:rPr>
              <w:t>Expected value</w:t>
            </w:r>
          </w:p>
        </w:tc>
        <w:tc>
          <w:tcPr>
            <w:tcW w:type="dxa" w:w="3118"/>
            <w:shd w:fill="16324F"/>
            <w:tcMar>
              <w:top w:w="90" w:type="dxa"/>
              <w:start w:w="110" w:type="dxa"/>
              <w:bottom w:w="90" w:type="dxa"/>
              <w:end w:w="110" w:type="dxa"/>
            </w:tcMar>
            <w:vAlign w:val="center"/>
          </w:tcPr>
          <w:p>
            <w:pPr>
              <w:spacing w:after="0"/>
            </w:pPr>
            <w:r>
              <w:rPr>
                <w:b/>
                <w:color w:val="FFFFFF"/>
                <w:sz w:val="17"/>
              </w:rPr>
              <w:t>Replace with actual</w:t>
            </w:r>
          </w:p>
        </w:tc>
      </w:tr>
      <w:tr>
        <w:trPr>
          <w:trHeight w:hRule="atLeast"/>
        </w:trPr>
        <w:tc>
          <w:tcPr>
            <w:tcW w:type="dxa" w:w="3515"/>
            <w:tcMar>
              <w:top w:w="90" w:type="dxa"/>
              <w:start w:w="110" w:type="dxa"/>
              <w:bottom w:w="90" w:type="dxa"/>
              <w:end w:w="110" w:type="dxa"/>
            </w:tcMar>
            <w:vAlign w:val="center"/>
          </w:tcPr>
          <w:p>
            <w:pPr>
              <w:spacing w:after="0"/>
            </w:pPr>
            <w:r>
              <w:rPr>
                <w:sz w:val="17"/>
              </w:rPr>
              <w:t>Active users</w:t>
            </w:r>
          </w:p>
        </w:tc>
        <w:tc>
          <w:tcPr>
            <w:tcW w:type="dxa" w:w="2835"/>
            <w:tcMar>
              <w:top w:w="90" w:type="dxa"/>
              <w:start w:w="110" w:type="dxa"/>
              <w:bottom w:w="90" w:type="dxa"/>
              <w:end w:w="110" w:type="dxa"/>
            </w:tcMar>
            <w:vAlign w:val="center"/>
          </w:tcPr>
          <w:p>
            <w:pPr>
              <w:spacing w:after="0"/>
            </w:pPr>
            <w:r>
              <w:rPr>
                <w:sz w:val="17"/>
              </w:rPr>
              <w:t>5</w:t>
            </w:r>
          </w:p>
        </w:tc>
        <w:tc>
          <w:tcPr>
            <w:tcW w:type="dxa" w:w="3118"/>
            <w:tcMar>
              <w:top w:w="90" w:type="dxa"/>
              <w:start w:w="110" w:type="dxa"/>
              <w:bottom w:w="90" w:type="dxa"/>
              <w:end w:w="110" w:type="dxa"/>
            </w:tcMar>
            <w:vAlign w:val="center"/>
          </w:tcPr>
          <w:p>
            <w:pPr>
              <w:spacing w:after="0"/>
            </w:pPr>
            <w:r>
              <w:rPr>
                <w:sz w:val="17"/>
              </w:rPr>
              <w:t>________</w:t>
            </w:r>
          </w:p>
        </w:tc>
      </w:tr>
      <w:tr>
        <w:trPr>
          <w:trHeight w:hRule="atLeast"/>
        </w:trPr>
        <w:tc>
          <w:tcPr>
            <w:tcW w:type="dxa" w:w="3515"/>
            <w:shd w:fill="F6F8FA"/>
            <w:tcMar>
              <w:top w:w="90" w:type="dxa"/>
              <w:start w:w="110" w:type="dxa"/>
              <w:bottom w:w="90" w:type="dxa"/>
              <w:end w:w="110" w:type="dxa"/>
            </w:tcMar>
            <w:vAlign w:val="center"/>
          </w:tcPr>
          <w:p>
            <w:pPr>
              <w:spacing w:after="0"/>
            </w:pPr>
            <w:r>
              <w:rPr>
                <w:sz w:val="17"/>
              </w:rPr>
              <w:t>Working days per month</w:t>
            </w:r>
          </w:p>
        </w:tc>
        <w:tc>
          <w:tcPr>
            <w:tcW w:type="dxa" w:w="2835"/>
            <w:shd w:fill="F6F8FA"/>
            <w:tcMar>
              <w:top w:w="90" w:type="dxa"/>
              <w:start w:w="110" w:type="dxa"/>
              <w:bottom w:w="90" w:type="dxa"/>
              <w:end w:w="110" w:type="dxa"/>
            </w:tcMar>
            <w:vAlign w:val="center"/>
          </w:tcPr>
          <w:p>
            <w:pPr>
              <w:spacing w:after="0"/>
            </w:pPr>
            <w:r>
              <w:rPr>
                <w:sz w:val="17"/>
              </w:rPr>
              <w:t>20</w:t>
            </w:r>
          </w:p>
        </w:tc>
        <w:tc>
          <w:tcPr>
            <w:tcW w:type="dxa" w:w="3118"/>
            <w:shd w:fill="F6F8FA"/>
            <w:tcMar>
              <w:top w:w="90" w:type="dxa"/>
              <w:start w:w="110" w:type="dxa"/>
              <w:bottom w:w="90" w:type="dxa"/>
              <w:end w:w="110" w:type="dxa"/>
            </w:tcMar>
            <w:vAlign w:val="center"/>
          </w:tcPr>
          <w:p>
            <w:pPr>
              <w:spacing w:after="0"/>
            </w:pPr>
            <w:r>
              <w:rPr>
                <w:sz w:val="17"/>
              </w:rPr>
              <w:t>________</w:t>
            </w:r>
          </w:p>
        </w:tc>
      </w:tr>
      <w:tr>
        <w:trPr>
          <w:trHeight w:hRule="atLeast"/>
        </w:trPr>
        <w:tc>
          <w:tcPr>
            <w:tcW w:type="dxa" w:w="3515"/>
            <w:tcMar>
              <w:top w:w="90" w:type="dxa"/>
              <w:start w:w="110" w:type="dxa"/>
              <w:bottom w:w="90" w:type="dxa"/>
              <w:end w:w="110" w:type="dxa"/>
            </w:tcMar>
            <w:vAlign w:val="center"/>
          </w:tcPr>
          <w:p>
            <w:pPr>
              <w:spacing w:after="0"/>
            </w:pPr>
            <w:r>
              <w:rPr>
                <w:sz w:val="17"/>
              </w:rPr>
              <w:t>Interactions per user per day</w:t>
            </w:r>
          </w:p>
        </w:tc>
        <w:tc>
          <w:tcPr>
            <w:tcW w:type="dxa" w:w="2835"/>
            <w:tcMar>
              <w:top w:w="90" w:type="dxa"/>
              <w:start w:w="110" w:type="dxa"/>
              <w:bottom w:w="90" w:type="dxa"/>
              <w:end w:w="110" w:type="dxa"/>
            </w:tcMar>
            <w:vAlign w:val="center"/>
          </w:tcPr>
          <w:p>
            <w:pPr>
              <w:spacing w:after="0"/>
            </w:pPr>
            <w:r>
              <w:rPr>
                <w:sz w:val="17"/>
              </w:rPr>
              <w:t>10</w:t>
            </w:r>
          </w:p>
        </w:tc>
        <w:tc>
          <w:tcPr>
            <w:tcW w:type="dxa" w:w="3118"/>
            <w:tcMar>
              <w:top w:w="90" w:type="dxa"/>
              <w:start w:w="110" w:type="dxa"/>
              <w:bottom w:w="90" w:type="dxa"/>
              <w:end w:w="110" w:type="dxa"/>
            </w:tcMar>
            <w:vAlign w:val="center"/>
          </w:tcPr>
          <w:p>
            <w:pPr>
              <w:spacing w:after="0"/>
            </w:pPr>
            <w:r>
              <w:rPr>
                <w:sz w:val="17"/>
              </w:rPr>
              <w:t>________</w:t>
            </w:r>
          </w:p>
        </w:tc>
      </w:tr>
      <w:tr>
        <w:trPr>
          <w:trHeight w:hRule="atLeast"/>
        </w:trPr>
        <w:tc>
          <w:tcPr>
            <w:tcW w:type="dxa" w:w="3515"/>
            <w:shd w:fill="F6F8FA"/>
            <w:tcMar>
              <w:top w:w="90" w:type="dxa"/>
              <w:start w:w="110" w:type="dxa"/>
              <w:bottom w:w="90" w:type="dxa"/>
              <w:end w:w="110" w:type="dxa"/>
            </w:tcMar>
            <w:vAlign w:val="center"/>
          </w:tcPr>
          <w:p>
            <w:pPr>
              <w:spacing w:after="0"/>
            </w:pPr>
            <w:r>
              <w:rPr>
                <w:sz w:val="17"/>
              </w:rPr>
              <w:t>Average input tokens</w:t>
            </w:r>
          </w:p>
        </w:tc>
        <w:tc>
          <w:tcPr>
            <w:tcW w:type="dxa" w:w="2835"/>
            <w:shd w:fill="F6F8FA"/>
            <w:tcMar>
              <w:top w:w="90" w:type="dxa"/>
              <w:start w:w="110" w:type="dxa"/>
              <w:bottom w:w="90" w:type="dxa"/>
              <w:end w:w="110" w:type="dxa"/>
            </w:tcMar>
            <w:vAlign w:val="center"/>
          </w:tcPr>
          <w:p>
            <w:pPr>
              <w:spacing w:after="0"/>
            </w:pPr>
            <w:r>
              <w:rPr>
                <w:sz w:val="17"/>
              </w:rPr>
              <w:t>8,000</w:t>
            </w:r>
          </w:p>
        </w:tc>
        <w:tc>
          <w:tcPr>
            <w:tcW w:type="dxa" w:w="3118"/>
            <w:shd w:fill="F6F8FA"/>
            <w:tcMar>
              <w:top w:w="90" w:type="dxa"/>
              <w:start w:w="110" w:type="dxa"/>
              <w:bottom w:w="90" w:type="dxa"/>
              <w:end w:w="110" w:type="dxa"/>
            </w:tcMar>
            <w:vAlign w:val="center"/>
          </w:tcPr>
          <w:p>
            <w:pPr>
              <w:spacing w:after="0"/>
            </w:pPr>
            <w:r>
              <w:rPr>
                <w:sz w:val="17"/>
              </w:rPr>
              <w:t>________</w:t>
            </w:r>
          </w:p>
        </w:tc>
      </w:tr>
      <w:tr>
        <w:trPr>
          <w:trHeight w:hRule="atLeast"/>
        </w:trPr>
        <w:tc>
          <w:tcPr>
            <w:tcW w:type="dxa" w:w="3515"/>
            <w:tcMar>
              <w:top w:w="90" w:type="dxa"/>
              <w:start w:w="110" w:type="dxa"/>
              <w:bottom w:w="90" w:type="dxa"/>
              <w:end w:w="110" w:type="dxa"/>
            </w:tcMar>
            <w:vAlign w:val="center"/>
          </w:tcPr>
          <w:p>
            <w:pPr>
              <w:spacing w:after="0"/>
            </w:pPr>
            <w:r>
              <w:rPr>
                <w:sz w:val="17"/>
              </w:rPr>
              <w:t>Average output tokens</w:t>
            </w:r>
          </w:p>
        </w:tc>
        <w:tc>
          <w:tcPr>
            <w:tcW w:type="dxa" w:w="2835"/>
            <w:tcMar>
              <w:top w:w="90" w:type="dxa"/>
              <w:start w:w="110" w:type="dxa"/>
              <w:bottom w:w="90" w:type="dxa"/>
              <w:end w:w="110" w:type="dxa"/>
            </w:tcMar>
            <w:vAlign w:val="center"/>
          </w:tcPr>
          <w:p>
            <w:pPr>
              <w:spacing w:after="0"/>
            </w:pPr>
            <w:r>
              <w:rPr>
                <w:sz w:val="17"/>
              </w:rPr>
              <w:t>800</w:t>
            </w:r>
          </w:p>
        </w:tc>
        <w:tc>
          <w:tcPr>
            <w:tcW w:type="dxa" w:w="3118"/>
            <w:tcMar>
              <w:top w:w="90" w:type="dxa"/>
              <w:start w:w="110" w:type="dxa"/>
              <w:bottom w:w="90" w:type="dxa"/>
              <w:end w:w="110" w:type="dxa"/>
            </w:tcMar>
            <w:vAlign w:val="center"/>
          </w:tcPr>
          <w:p>
            <w:pPr>
              <w:spacing w:after="0"/>
            </w:pPr>
            <w:r>
              <w:rPr>
                <w:sz w:val="17"/>
              </w:rPr>
              <w:t>________</w:t>
            </w:r>
          </w:p>
        </w:tc>
      </w:tr>
      <w:tr>
        <w:trPr>
          <w:trHeight w:hRule="atLeast"/>
        </w:trPr>
        <w:tc>
          <w:tcPr>
            <w:tcW w:type="dxa" w:w="3515"/>
            <w:shd w:fill="F6F8FA"/>
            <w:tcMar>
              <w:top w:w="90" w:type="dxa"/>
              <w:start w:w="110" w:type="dxa"/>
              <w:bottom w:w="90" w:type="dxa"/>
              <w:end w:w="110" w:type="dxa"/>
            </w:tcMar>
            <w:vAlign w:val="center"/>
          </w:tcPr>
          <w:p>
            <w:pPr>
              <w:spacing w:after="0"/>
            </w:pPr>
            <w:r>
              <w:rPr>
                <w:sz w:val="17"/>
              </w:rPr>
              <w:t>Monthly chat API cost</w:t>
            </w:r>
          </w:p>
        </w:tc>
        <w:tc>
          <w:tcPr>
            <w:tcW w:type="dxa" w:w="2835"/>
            <w:shd w:fill="F6F8FA"/>
            <w:tcMar>
              <w:top w:w="90" w:type="dxa"/>
              <w:start w:w="110" w:type="dxa"/>
              <w:bottom w:w="90" w:type="dxa"/>
              <w:end w:w="110" w:type="dxa"/>
            </w:tcMar>
            <w:vAlign w:val="center"/>
          </w:tcPr>
          <w:p>
            <w:pPr>
              <w:spacing w:after="0"/>
            </w:pPr>
            <w:r>
              <w:rPr>
                <w:sz w:val="17"/>
              </w:rPr>
              <w:t>US$9.60</w:t>
            </w:r>
          </w:p>
        </w:tc>
        <w:tc>
          <w:tcPr>
            <w:tcW w:type="dxa" w:w="3118"/>
            <w:shd w:fill="F6F8FA"/>
            <w:tcMar>
              <w:top w:w="90" w:type="dxa"/>
              <w:start w:w="110" w:type="dxa"/>
              <w:bottom w:w="90" w:type="dxa"/>
              <w:end w:w="110" w:type="dxa"/>
            </w:tcMar>
            <w:vAlign w:val="center"/>
          </w:tcPr>
          <w:p>
            <w:pPr>
              <w:spacing w:after="0"/>
            </w:pPr>
            <w:r>
              <w:rPr>
                <w:sz w:val="17"/>
              </w:rPr>
              <w:t>________</w:t>
            </w:r>
          </w:p>
        </w:tc>
      </w:tr>
      <w:tr>
        <w:trPr>
          <w:trHeight w:hRule="atLeast"/>
        </w:trPr>
        <w:tc>
          <w:tcPr>
            <w:tcW w:type="dxa" w:w="3515"/>
            <w:tcMar>
              <w:top w:w="90" w:type="dxa"/>
              <w:start w:w="110" w:type="dxa"/>
              <w:bottom w:w="90" w:type="dxa"/>
              <w:end w:w="110" w:type="dxa"/>
            </w:tcMar>
            <w:vAlign w:val="center"/>
          </w:tcPr>
          <w:p>
            <w:pPr>
              <w:spacing w:after="0"/>
            </w:pPr>
            <w:r>
              <w:rPr>
                <w:sz w:val="17"/>
              </w:rPr>
              <w:t>Monthly hosting/monitoring</w:t>
            </w:r>
          </w:p>
        </w:tc>
        <w:tc>
          <w:tcPr>
            <w:tcW w:type="dxa" w:w="2835"/>
            <w:tcMar>
              <w:top w:w="90" w:type="dxa"/>
              <w:start w:w="110" w:type="dxa"/>
              <w:bottom w:w="90" w:type="dxa"/>
              <w:end w:w="110" w:type="dxa"/>
            </w:tcMar>
            <w:vAlign w:val="center"/>
          </w:tcPr>
          <w:p>
            <w:pPr>
              <w:spacing w:after="0"/>
            </w:pPr>
            <w:r>
              <w:rPr>
                <w:sz w:val="17"/>
              </w:rPr>
              <w:t>Not in headline</w:t>
            </w:r>
          </w:p>
        </w:tc>
        <w:tc>
          <w:tcPr>
            <w:tcW w:type="dxa" w:w="3118"/>
            <w:tcMar>
              <w:top w:w="90" w:type="dxa"/>
              <w:start w:w="110" w:type="dxa"/>
              <w:bottom w:w="90" w:type="dxa"/>
              <w:end w:w="110" w:type="dxa"/>
            </w:tcMar>
            <w:vAlign w:val="center"/>
          </w:tcPr>
          <w:p>
            <w:pPr>
              <w:spacing w:after="0"/>
            </w:pPr>
            <w:r>
              <w:rPr>
                <w:sz w:val="17"/>
              </w:rPr>
              <w:t>________</w:t>
            </w:r>
          </w:p>
        </w:tc>
      </w:tr>
      <w:tr>
        <w:trPr>
          <w:trHeight w:hRule="atLeast"/>
        </w:trPr>
        <w:tc>
          <w:tcPr>
            <w:tcW w:type="dxa" w:w="3515"/>
            <w:shd w:fill="F6F8FA"/>
            <w:tcMar>
              <w:top w:w="90" w:type="dxa"/>
              <w:start w:w="110" w:type="dxa"/>
              <w:bottom w:w="90" w:type="dxa"/>
              <w:end w:w="110" w:type="dxa"/>
            </w:tcMar>
            <w:vAlign w:val="center"/>
          </w:tcPr>
          <w:p>
            <w:pPr>
              <w:spacing w:after="0"/>
            </w:pPr>
            <w:r>
              <w:rPr>
                <w:sz w:val="17"/>
              </w:rPr>
              <w:t>Monthly image API cost</w:t>
            </w:r>
          </w:p>
        </w:tc>
        <w:tc>
          <w:tcPr>
            <w:tcW w:type="dxa" w:w="2835"/>
            <w:shd w:fill="F6F8FA"/>
            <w:tcMar>
              <w:top w:w="90" w:type="dxa"/>
              <w:start w:w="110" w:type="dxa"/>
              <w:bottom w:w="90" w:type="dxa"/>
              <w:end w:w="110" w:type="dxa"/>
            </w:tcMar>
            <w:vAlign w:val="center"/>
          </w:tcPr>
          <w:p>
            <w:pPr>
              <w:spacing w:after="0"/>
            </w:pPr>
            <w:r>
              <w:rPr>
                <w:sz w:val="17"/>
              </w:rPr>
              <w:t>Not in headline</w:t>
            </w:r>
          </w:p>
        </w:tc>
        <w:tc>
          <w:tcPr>
            <w:tcW w:type="dxa" w:w="3118"/>
            <w:shd w:fill="F6F8FA"/>
            <w:tcMar>
              <w:top w:w="90" w:type="dxa"/>
              <w:start w:w="110" w:type="dxa"/>
              <w:bottom w:w="90" w:type="dxa"/>
              <w:end w:w="110" w:type="dxa"/>
            </w:tcMar>
            <w:vAlign w:val="center"/>
          </w:tcPr>
          <w:p>
            <w:pPr>
              <w:spacing w:after="0"/>
            </w:pPr>
            <w:r>
              <w:rPr>
                <w:sz w:val="17"/>
              </w:rPr>
              <w:t>________</w:t>
            </w:r>
          </w:p>
        </w:tc>
      </w:tr>
      <w:tr>
        <w:trPr>
          <w:trHeight w:hRule="atLeast"/>
        </w:trPr>
        <w:tc>
          <w:tcPr>
            <w:tcW w:type="dxa" w:w="3515"/>
            <w:tcMar>
              <w:top w:w="90" w:type="dxa"/>
              <w:start w:w="110" w:type="dxa"/>
              <w:bottom w:w="90" w:type="dxa"/>
              <w:end w:w="110" w:type="dxa"/>
            </w:tcMar>
            <w:vAlign w:val="center"/>
          </w:tcPr>
          <w:p>
            <w:pPr>
              <w:spacing w:after="0"/>
            </w:pPr>
            <w:r>
              <w:rPr>
                <w:sz w:val="17"/>
              </w:rPr>
              <w:t>Monthly support/maintenance</w:t>
            </w:r>
          </w:p>
        </w:tc>
        <w:tc>
          <w:tcPr>
            <w:tcW w:type="dxa" w:w="2835"/>
            <w:tcMar>
              <w:top w:w="90" w:type="dxa"/>
              <w:start w:w="110" w:type="dxa"/>
              <w:bottom w:w="90" w:type="dxa"/>
              <w:end w:w="110" w:type="dxa"/>
            </w:tcMar>
            <w:vAlign w:val="center"/>
          </w:tcPr>
          <w:p>
            <w:pPr>
              <w:spacing w:after="0"/>
            </w:pPr>
            <w:r>
              <w:rPr>
                <w:sz w:val="17"/>
              </w:rPr>
              <w:t>Not in headline</w:t>
            </w:r>
          </w:p>
        </w:tc>
        <w:tc>
          <w:tcPr>
            <w:tcW w:type="dxa" w:w="3118"/>
            <w:tcMar>
              <w:top w:w="90" w:type="dxa"/>
              <w:start w:w="110" w:type="dxa"/>
              <w:bottom w:w="90" w:type="dxa"/>
              <w:end w:w="110" w:type="dxa"/>
            </w:tcMar>
            <w:vAlign w:val="center"/>
          </w:tcPr>
          <w:p>
            <w:pPr>
              <w:spacing w:after="0"/>
            </w:pPr>
            <w:r>
              <w:rPr>
                <w:sz w:val="17"/>
              </w:rPr>
              <w:t>________</w:t>
            </w:r>
          </w:p>
        </w:tc>
      </w:tr>
      <w:tr>
        <w:trPr>
          <w:trHeight w:hRule="atLeast"/>
        </w:trPr>
        <w:tc>
          <w:tcPr>
            <w:tcW w:type="dxa" w:w="3515"/>
            <w:shd w:fill="F6F8FA"/>
            <w:tcMar>
              <w:top w:w="90" w:type="dxa"/>
              <w:start w:w="110" w:type="dxa"/>
              <w:bottom w:w="90" w:type="dxa"/>
              <w:end w:w="110" w:type="dxa"/>
            </w:tcMar>
            <w:vAlign w:val="center"/>
          </w:tcPr>
          <w:p>
            <w:pPr>
              <w:spacing w:after="0"/>
            </w:pPr>
            <w:r>
              <w:rPr>
                <w:sz w:val="17"/>
              </w:rPr>
              <w:t>Actual Microsoft quote for 5 users</w:t>
            </w:r>
          </w:p>
        </w:tc>
        <w:tc>
          <w:tcPr>
            <w:tcW w:type="dxa" w:w="2835"/>
            <w:shd w:fill="F6F8FA"/>
            <w:tcMar>
              <w:top w:w="90" w:type="dxa"/>
              <w:start w:w="110" w:type="dxa"/>
              <w:bottom w:w="90" w:type="dxa"/>
              <w:end w:w="110" w:type="dxa"/>
            </w:tcMar>
            <w:vAlign w:val="center"/>
          </w:tcPr>
          <w:p>
            <w:pPr>
              <w:spacing w:after="0"/>
            </w:pPr>
            <w:r>
              <w:rPr>
                <w:sz w:val="17"/>
              </w:rPr>
              <w:t>US$150 list baseline</w:t>
            </w:r>
          </w:p>
        </w:tc>
        <w:tc>
          <w:tcPr>
            <w:tcW w:type="dxa" w:w="3118"/>
            <w:shd w:fill="F6F8FA"/>
            <w:tcMar>
              <w:top w:w="90" w:type="dxa"/>
              <w:start w:w="110" w:type="dxa"/>
              <w:bottom w:w="90" w:type="dxa"/>
              <w:end w:w="110" w:type="dxa"/>
            </w:tcMar>
            <w:vAlign w:val="center"/>
          </w:tcPr>
          <w:p>
            <w:pPr>
              <w:spacing w:after="0"/>
            </w:pPr>
            <w:r>
              <w:rPr>
                <w:sz w:val="17"/>
              </w:rPr>
              <w:t>________</w:t>
            </w:r>
          </w:p>
        </w:tc>
      </w:tr>
      <w:tr>
        <w:trPr>
          <w:trHeight w:hRule="atLeast"/>
        </w:trPr>
        <w:tc>
          <w:tcPr>
            <w:tcW w:type="dxa" w:w="3515"/>
            <w:tcMar>
              <w:top w:w="90" w:type="dxa"/>
              <w:start w:w="110" w:type="dxa"/>
              <w:bottom w:w="90" w:type="dxa"/>
              <w:end w:w="110" w:type="dxa"/>
            </w:tcMar>
            <w:vAlign w:val="center"/>
          </w:tcPr>
          <w:p>
            <w:pPr>
              <w:spacing w:after="0"/>
            </w:pPr>
            <w:r>
              <w:rPr>
                <w:sz w:val="17"/>
              </w:rPr>
              <w:t>Measured minutes saved per user per day</w:t>
            </w:r>
          </w:p>
        </w:tc>
        <w:tc>
          <w:tcPr>
            <w:tcW w:type="dxa" w:w="2835"/>
            <w:tcMar>
              <w:top w:w="90" w:type="dxa"/>
              <w:start w:w="110" w:type="dxa"/>
              <w:bottom w:w="90" w:type="dxa"/>
              <w:end w:w="110" w:type="dxa"/>
            </w:tcMar>
            <w:vAlign w:val="center"/>
          </w:tcPr>
          <w:p>
            <w:pPr>
              <w:spacing w:after="0"/>
            </w:pPr>
            <w:r>
              <w:rPr>
                <w:sz w:val="17"/>
              </w:rPr>
              <w:t>Not yet measured</w:t>
            </w:r>
          </w:p>
        </w:tc>
        <w:tc>
          <w:tcPr>
            <w:tcW w:type="dxa" w:w="3118"/>
            <w:tcMar>
              <w:top w:w="90" w:type="dxa"/>
              <w:start w:w="110" w:type="dxa"/>
              <w:bottom w:w="90" w:type="dxa"/>
              <w:end w:w="110" w:type="dxa"/>
            </w:tcMar>
            <w:vAlign w:val="center"/>
          </w:tcPr>
          <w:p>
            <w:pPr>
              <w:spacing w:after="0"/>
            </w:pPr>
            <w:r>
              <w:rPr>
                <w:sz w:val="17"/>
              </w:rPr>
              <w:t>________</w:t>
            </w:r>
          </w:p>
        </w:tc>
      </w:tr>
    </w:tbl>
    <w:sectPr w:rsidR="00FC693F" w:rsidRPr="0006063C" w:rsidSect="00034616">
      <w:headerReference w:type="default" r:id="rId9"/>
      <w:footerReference w:type="default" r:id="rId10"/>
      <w:pgSz w:w="11906" w:h="16838"/>
      <w:pgMar w:top="1020" w:right="1077" w:bottom="964" w:left="107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16B"/>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2" w:color="2E74B5"/>
      </w:pBdr>
    </w:pPr>
    <w:r>
      <w:rPr>
        <w:rFonts w:ascii="Calibri" w:hAnsi="Calibri"/>
        <w:b/>
        <w:color w:val="52616B"/>
        <w:sz w:val="16"/>
      </w:rPr>
      <w:t>CAD-Aware Engineering Assistant | Shock Selector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47D7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6324F"/>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160"/>
    </w:pPr>
    <w:rPr>
      <w:rFonts w:asciiTheme="majorHAnsi" w:eastAsiaTheme="majorEastAsia" w:hAnsiTheme="majorHAnsi" w:cstheme="majorBidi" w:ascii="Calibri" w:hAnsi="Calibri"/>
      <w:b w:val="0"/>
      <w:i/>
      <w:iCs/>
      <w:color w:val="52616B"/>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Calibri" w:hAnsi="Calibri"/>
      <w:color w:val="1F2933"/>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1F2933"/>
      <w:sz w:val="20"/>
    </w:rPr>
  </w:style>
  <w:style w:type="paragraph" w:styleId="ListBullet2">
    <w:name w:val="List Bullet 2"/>
    <w:basedOn w:val="Normal"/>
    <w:uiPriority w:val="99"/>
    <w:unhideWhenUsed/>
    <w:rsid w:val="00326F90"/>
    <w:pPr>
      <w:numPr>
        <w:numId w:val="2"/>
      </w:numPr>
      <w:spacing w:after="60" w:line="264" w:lineRule="auto"/>
      <w:contextualSpacing/>
    </w:pPr>
    <w:rPr>
      <w:rFonts w:ascii="Calibri" w:hAnsi="Calibri"/>
      <w:color w:val="1F2933"/>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1F29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www.microsoft.com/en-us/microsoft-365-copilot/pricing/enterprise" TargetMode="External"/><Relationship Id="rId17" Type="http://schemas.openxmlformats.org/officeDocument/2006/relationships/hyperlink" Target="https://developers.openai.com/api/docs/models/gpt-5.4-mi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Shock Selector Complete Functional Guide and Copilot Cost Comparison</dc:title>
  <dc:subject>Detailed Shock Selector operating guide, architecture, evidence and cost model</dc:subject>
  <dc:creator>CAD-Aware Engineering Assistant Project</dc:creator>
  <cp:keywords>shock isolator, engineering assistant, RAG, OpenAI, Microsoft Copilot, cost</cp:keywords>
  <dc:description>Generated from the current repository implementation and official pricing checked on 27 July 2026.</dc:description>
  <cp:lastModifiedBy/>
  <cp:revision>1</cp:revision>
  <dcterms:created xsi:type="dcterms:W3CDTF">2013-12-23T23:15:00Z</dcterms:created>
  <dcterms:modified xsi:type="dcterms:W3CDTF">2013-12-23T23:15:00Z</dcterms:modified>
  <cp:category/>
</cp:coreProperties>
</file>