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用户上传公司 财务报表分析报告</w:t>
      </w:r>
    </w:p>
    <w:p>
      <w:r>
        <w:t>报告期间：2022 年度至 2024 年度</w:t>
      </w:r>
    </w:p>
    <w:p>
      <w:r>
        <w:t>报告详细程度：标准版</w:t>
      </w:r>
    </w:p>
    <w:p>
      <w:r>
        <w:t>分析工具：财报智析 Agent</w:t>
      </w:r>
    </w:p>
    <w:p>
      <w:r>
        <w:t>数据来源：标准财务数据</w:t>
      </w:r>
    </w:p>
    <w:p>
      <w:r>
        <w:t>&gt; 本结论基于用户提供的数据和教材分析框架生成，仅作为课程研究与财务分析参考。</w:t>
      </w:r>
    </w:p>
    <w:p>
      <w:pPr>
        <w:pStyle w:val="Heading2"/>
      </w:pPr>
      <w:r>
        <w:t>一、公司基本情况</w:t>
      </w:r>
    </w:p>
    <w:p>
      <w:r>
        <w:t>本报告基于已确认的标准财务数据生成。未使用 PDF 年报或 PDF 解析未成功，系统基于标准财务数据完成核心分析。</w:t>
      </w:r>
    </w:p>
    <w:p>
      <w:pPr>
        <w:pStyle w:val="Heading2"/>
      </w:pPr>
      <w:r>
        <w:t>二、分析数据来源与方法说明</w:t>
      </w:r>
    </w:p>
    <w:p>
      <w:r>
        <w:t>系统按照教材框架执行数据读取、项目标准化、指标计算、趋势分析、杜邦分析、现金流量质量分析、风险识别和报告生成。财务数字由 Python 工具根据标准财务数据计算，大模型只用于调度说明和文字组织；若 PDF 已解析，年报文本仅作为补充背景，不替代结构化财务数据。</w:t>
      </w:r>
    </w:p>
    <w:p>
      <w:pPr>
        <w:pStyle w:val="Heading2"/>
      </w:pPr>
      <w:r>
        <w:t>三、数据质量与勾稽校验</w:t>
      </w:r>
    </w:p>
    <w:p>
      <w:r>
        <w:t>数据校验完成：通过 10 项，关注 0 项，异常 0 项。</w:t>
      </w:r>
    </w:p>
    <w:p>
      <w:pPr>
        <w:pStyle w:val="ListBullet"/>
      </w:pPr>
      <w:r>
        <w:t>全部｜核心科目完整性｜通过：已识别收入、成本、利润、现金流、资产、负债和权益等核心科目。 建议：可继续进入指标计算和风险识别。</w:t>
      </w:r>
    </w:p>
    <w:p>
      <w:pPr>
        <w:pStyle w:val="ListBullet"/>
      </w:pPr>
      <w:r>
        <w:t>2022｜资产负债表勾稽关系｜通过：总资产 310,000.00；总负债+所有者权益 310,000.00；差异 0.00。差异率 0.00%，在 1% 容忍范围内。 建议：若差异较大，请检查单位、合并/母公司口径和是否遗漏少数股东权益等项目。</w:t>
      </w:r>
    </w:p>
    <w:p>
      <w:pPr>
        <w:pStyle w:val="ListBullet"/>
      </w:pPr>
      <w:r>
        <w:t>2022｜利润表基础合理性｜通过：营业收入、营业成本和净利润未触发基础异常校验。 建议：可继续结合盈利能力指标和趋势变化判断利润质量。</w:t>
      </w:r>
    </w:p>
    <w:p>
      <w:pPr>
        <w:pStyle w:val="ListBullet"/>
      </w:pPr>
      <w:r>
        <w:t>2022｜利润现金流匹配性｜通过：净利润与经营活动现金流量净额未触发基础背离校验。 建议：仍需结合净利润现金含量和营运资金占用进一步判断。</w:t>
      </w:r>
    </w:p>
    <w:p>
      <w:pPr>
        <w:pStyle w:val="ListBullet"/>
      </w:pPr>
      <w:r>
        <w:t>2023｜资产负债表勾稽关系｜通过：总资产 365,000.00；总负债+所有者权益 365,000.00；差异 0.00。差异率 0.00%，在 1% 容忍范围内。 建议：若差异较大，请检查单位、合并/母公司口径和是否遗漏少数股东权益等项目。</w:t>
      </w:r>
    </w:p>
    <w:p>
      <w:pPr>
        <w:pStyle w:val="ListBullet"/>
      </w:pPr>
      <w:r>
        <w:t>2023｜利润表基础合理性｜通过：营业收入、营业成本和净利润未触发基础异常校验。 建议：可继续结合盈利能力指标和趋势变化判断利润质量。</w:t>
      </w:r>
    </w:p>
    <w:p>
      <w:pPr>
        <w:pStyle w:val="ListBullet"/>
      </w:pPr>
      <w:r>
        <w:t>2023｜利润现金流匹配性｜通过：净利润与经营活动现金流量净额未触发基础背离校验。 建议：仍需结合净利润现金含量和营运资金占用进一步判断。</w:t>
      </w:r>
    </w:p>
    <w:p>
      <w:pPr>
        <w:pStyle w:val="ListBullet"/>
      </w:pPr>
      <w:r>
        <w:t>2024｜资产负债表勾稽关系｜通过：总资产 430,000.00；总负债+所有者权益 430,000.00；差异 0.00。差异率 0.00%，在 1% 容忍范围内。 建议：若差异较大，请检查单位、合并/母公司口径和是否遗漏少数股东权益等项目。</w:t>
      </w:r>
    </w:p>
    <w:p>
      <w:pPr>
        <w:pStyle w:val="ListBullet"/>
      </w:pPr>
      <w:r>
        <w:t>2024｜利润表基础合理性｜通过：营业收入、营业成本和净利润未触发基础异常校验。 建议：可继续结合盈利能力指标和趋势变化判断利润质量。</w:t>
      </w:r>
    </w:p>
    <w:p>
      <w:pPr>
        <w:pStyle w:val="ListBullet"/>
      </w:pPr>
      <w:r>
        <w:t>2024｜利润现金流匹配性｜通过：净利润与经营活动现金流量净额未触发基础背离校验。 建议：仍需结合净利润现金含量和营运资金占用进一步判断。</w:t>
      </w:r>
    </w:p>
    <w:p>
      <w:pPr>
        <w:pStyle w:val="Heading2"/>
      </w:pPr>
      <w:r>
        <w:t>四、主要财务数据概览</w:t>
      </w:r>
    </w:p>
    <w:p>
      <w:pPr>
        <w:pStyle w:val="ListBullet"/>
      </w:pPr>
      <w:r>
        <w:t>营业收入增长率（2024）：11.72%</w:t>
      </w:r>
    </w:p>
    <w:p>
      <w:pPr>
        <w:pStyle w:val="ListBullet"/>
      </w:pPr>
      <w:r>
        <w:t>净利润增长率（2024）：-6.74%</w:t>
      </w:r>
    </w:p>
    <w:p>
      <w:pPr>
        <w:pStyle w:val="ListBullet"/>
      </w:pPr>
      <w:r>
        <w:t>资产负债率（2024）：52.33%</w:t>
      </w:r>
    </w:p>
    <w:p>
      <w:pPr>
        <w:pStyle w:val="ListBullet"/>
      </w:pPr>
      <w:r>
        <w:t>净资产收益率（ROE）（2024）：8.30%</w:t>
      </w:r>
    </w:p>
    <w:p>
      <w:pPr>
        <w:pStyle w:val="ListBullet"/>
      </w:pPr>
      <w:r>
        <w:t>净利润现金含量（2024）：59.04%</w:t>
      </w:r>
    </w:p>
    <w:p>
      <w:pPr>
        <w:pStyle w:val="ListBullet"/>
      </w:pPr>
      <w:r>
        <w:t>营业收入2024年为162,000.00，较2023年增加11.72%。</w:t>
      </w:r>
    </w:p>
    <w:p>
      <w:pPr>
        <w:pStyle w:val="ListBullet"/>
      </w:pPr>
      <w:r>
        <w:t>净利润2024年为16,600.00，较2023年减少6.74%。</w:t>
      </w:r>
    </w:p>
    <w:p>
      <w:pPr>
        <w:pStyle w:val="ListBullet"/>
      </w:pPr>
      <w:r>
        <w:t>经营活动现金流量净额2024年为9,800.00，较2023年减少21.60%。</w:t>
      </w:r>
    </w:p>
    <w:p>
      <w:pPr>
        <w:pStyle w:val="ListBullet"/>
      </w:pPr>
      <w:r>
        <w:t>总资产2024年为430,000.00，较2023年增加17.81%。</w:t>
      </w:r>
    </w:p>
    <w:p>
      <w:r>
        <w:t>核心趋势：</w:t>
      </w:r>
    </w:p>
    <w:p>
      <w:pPr>
        <w:pStyle w:val="ListBullet"/>
      </w:pPr>
      <w:r>
        <w:t>营业收入：上升，2022 年至 2024 年累计变动 35.00%。</w:t>
      </w:r>
    </w:p>
    <w:p>
      <w:pPr>
        <w:pStyle w:val="ListBullet"/>
      </w:pPr>
      <w:r>
        <w:t>净利润：波动，2022 年至 2024 年累计变动 14.48%。</w:t>
      </w:r>
    </w:p>
    <w:p>
      <w:pPr>
        <w:pStyle w:val="ListBullet"/>
      </w:pPr>
      <w:r>
        <w:t>经营活动现金流量净额：下降，2022 年至 2024 年累计变动 -38.75%。</w:t>
      </w:r>
    </w:p>
    <w:p>
      <w:pPr>
        <w:pStyle w:val="ListBullet"/>
      </w:pPr>
      <w:r>
        <w:t>总资产：上升，2022 年至 2024 年累计变动 38.71%。</w:t>
      </w:r>
    </w:p>
    <w:p>
      <w:pPr>
        <w:pStyle w:val="Heading2"/>
      </w:pPr>
      <w:r>
        <w:t>五、资产负债表分析</w:t>
      </w:r>
    </w:p>
    <w:p>
      <w:r>
        <w:t>总资产2024年为430,000.00，较2023年增加17.81%。</w:t>
      </w:r>
    </w:p>
    <w:p>
      <w:r>
        <w:t>总负债2024年为225,000.00，较2023年增加32.35%。</w:t>
      </w:r>
    </w:p>
    <w:p>
      <w:r>
        <w:t>所有者权益2024年为205,000.00，较2023年增加5.13%。</w:t>
      </w:r>
    </w:p>
    <w:p>
      <w:r>
        <w:t>资产负债率2024年为52.33%，较2023年上升5.75个百分点。</w:t>
      </w:r>
    </w:p>
    <w:p>
      <w:r>
        <w:t>权益乘数2024年为2.10，较2023年上升12.06%。</w:t>
      </w:r>
    </w:p>
    <w:p>
      <w:r>
        <w:t>资产负债表分析重点不只看规模扩张，还要看负债扩张是否快于权益积累。若资产负债率与权益乘数同步上升，说明企业更多依赖负债或杠杆支撑资产规模，需要进一步拆分金融性负债、经营性负债和债务期限结构。</w:t>
      </w:r>
    </w:p>
    <w:p>
      <w:pPr>
        <w:pStyle w:val="Heading2"/>
      </w:pPr>
      <w:r>
        <w:t>六、利润表分析</w:t>
      </w:r>
    </w:p>
    <w:p>
      <w:r>
        <w:t>营业收入2024年为162,000.00，较2023年增加11.72%。</w:t>
      </w:r>
    </w:p>
    <w:p>
      <w:r>
        <w:t>营业成本2024年为108,000.00，较2023年增加17.39%。</w:t>
      </w:r>
    </w:p>
    <w:p>
      <w:r>
        <w:t>净利润2024年为16,600.00，较2023年减少6.74%。</w:t>
      </w:r>
    </w:p>
    <w:p>
      <w:r>
        <w:t>毛利率2024年为33.33%，较2023年下降3.22个百分点。</w:t>
      </w:r>
    </w:p>
    <w:p>
      <w:r>
        <w:t>净利率2024年为10.25%，较2023年下降2.03个百分点。</w:t>
      </w:r>
    </w:p>
    <w:p>
      <w:r>
        <w:t>利润表分析重点看收入增长是否转化为毛利和净利润。若营业收入增长而毛利率或净利率下降，说明增长质量可能受到成本、价格、费用或产品结构影响；若净利润增长弱于收入增长，应进一步核查期间费用、资产减值损失和非经常性损益。</w:t>
      </w:r>
    </w:p>
    <w:p>
      <w:pPr>
        <w:pStyle w:val="Heading2"/>
      </w:pPr>
      <w:r>
        <w:t>七、现金流量表分析</w:t>
      </w:r>
    </w:p>
    <w:p>
      <w:r>
        <w:t>经营活动现金流量净额2024年为9,800.00，较2023年减少21.60%。</w:t>
      </w:r>
    </w:p>
    <w:p>
      <w:r>
        <w:t>净利润现金含量2024年为59.04%，较2023年下降11.19个百分点。</w:t>
      </w:r>
    </w:p>
    <w:p>
      <w:r>
        <w:t>销售收现比率2024年为97.53%，较2023年下降5.92个百分点。</w:t>
      </w:r>
    </w:p>
    <w:p>
      <w:r>
        <w:t>经营现金流量收入比率2024年为6.05%，较2023年下降2.57个百分点。</w:t>
      </w:r>
    </w:p>
    <w:p>
      <w:r>
        <w:t>净利润现金含量连续低于 100%，提示利润现金含量需要关注。 经营活动现金流量净额呈下降趋势，需结合应收账款、存货和收入确认质量进一步分析。</w:t>
      </w:r>
    </w:p>
    <w:p>
      <w:r>
        <w:t>现金流量表分析重点看利润是否有经营现金流支撑。净利润现金含量低于100%并持续下降时，通常意味着利润确认与现金回收存在时间差或营运资金占用加重，需要结合应收账款、存货和合同负债变化判断。</w:t>
      </w:r>
    </w:p>
    <w:p>
      <w:pPr>
        <w:pStyle w:val="Heading2"/>
      </w:pPr>
      <w:r>
        <w:t>八、偿债能力分析</w:t>
      </w:r>
    </w:p>
    <w:p>
      <w:r>
        <w:t>流动比率2024年为1.66，较2023年下降8.07%。</w:t>
      </w:r>
    </w:p>
    <w:p>
      <w:r>
        <w:t>速动比率2024年为0.98，较2023年下降21.26%。</w:t>
      </w:r>
    </w:p>
    <w:p>
      <w:r>
        <w:t>资产负债率2024年为52.33%，较2023年上升5.75个百分点。</w:t>
      </w:r>
    </w:p>
    <w:p>
      <w:r>
        <w:t>权益乘数2024年为2.10，较2023年上升12.06%。</w:t>
      </w:r>
    </w:p>
    <w:p>
      <w:r>
        <w:t>偿债能力分析同时覆盖短期流动性和长期资本结构。流动比率、速动比率下降时，应关注流动负债到期压力和流动资产质量；资产负债率、权益乘数上升时，应进一步判断杠杆扩张是否带来足够的盈利和现金流回报。</w:t>
      </w:r>
    </w:p>
    <w:p>
      <w:pPr>
        <w:pStyle w:val="Heading2"/>
      </w:pPr>
      <w:r>
        <w:t>九、营运能力分析</w:t>
      </w:r>
    </w:p>
    <w:p>
      <w:r>
        <w:t>应收账款周转率2024年为3.15，较2023年下降27.33%。</w:t>
      </w:r>
    </w:p>
    <w:p>
      <w:r>
        <w:t>存货周转率2024年为1.69，较2023年下降17.46%。</w:t>
      </w:r>
    </w:p>
    <w:p>
      <w:r>
        <w:t>总资产周转率2024年为0.41，较2023年下降5.14%。</w:t>
      </w:r>
    </w:p>
    <w:p>
      <w:pPr>
        <w:pStyle w:val="ListBullet"/>
      </w:pPr>
      <w:r>
        <w:t>总资产：上升，2022 年至 2024 年累计变动 38.71%。</w:t>
      </w:r>
    </w:p>
    <w:p>
      <w:pPr>
        <w:pStyle w:val="ListBullet"/>
      </w:pPr>
      <w:r>
        <w:t>应收账款：上升，2022 年至 2024 年累计变动 138.46%。</w:t>
      </w:r>
    </w:p>
    <w:p>
      <w:pPr>
        <w:pStyle w:val="ListBullet"/>
      </w:pPr>
      <w:r>
        <w:t>存货：上升，2022 年至 2024 年累计变动 100.00%。</w:t>
      </w:r>
    </w:p>
    <w:p>
      <w:r>
        <w:t>营运能力分析重点看资金占用效率。应收账款周转率下降通常意味着回款周期拉长；存货周转率下降提示存货消化速度变慢；总资产周转率下降则说明资产投入转化为收入的效率减弱。</w:t>
      </w:r>
    </w:p>
    <w:p>
      <w:pPr>
        <w:pStyle w:val="Heading2"/>
      </w:pPr>
      <w:r>
        <w:t>十、盈利能力分析</w:t>
      </w:r>
    </w:p>
    <w:p>
      <w:r>
        <w:t>毛利率2024年为33.33%，较2023年下降3.22个百分点。</w:t>
      </w:r>
    </w:p>
    <w:p>
      <w:r>
        <w:t>净利率2024年为10.25%，较2023年下降2.03个百分点。</w:t>
      </w:r>
    </w:p>
    <w:p>
      <w:r>
        <w:t>总资产报酬率（ROA）2024年为4.18%，较2023年下降1.10个百分点。</w:t>
      </w:r>
    </w:p>
    <w:p>
      <w:r>
        <w:t>净资产收益率（ROE）2024年为8.30%，较2023年下降1.14个百分点。</w:t>
      </w:r>
    </w:p>
    <w:p>
      <w:r>
        <w:t>2023 年至 2024 年净资产收益率（ROE）下降，变化主要受权益乘数影响。</w:t>
      </w:r>
    </w:p>
    <w:p>
      <w:r>
        <w:t>盈利能力分析需要同时观察利润率、资产报酬和股东权益回报。净资产收益率（ROE）不能单独解释盈利改善，必须结合净利率、总资产周转率和权益乘数判断：若ROE变化主要由权益乘数驱动，应关注杠杆风险；若由净利率驱动，则应继续拆分毛利、费用和减值因素。</w:t>
      </w:r>
    </w:p>
    <w:p>
      <w:pPr>
        <w:pStyle w:val="Heading2"/>
      </w:pPr>
      <w:r>
        <w:t>十一、成长能力分析</w:t>
      </w:r>
    </w:p>
    <w:p>
      <w:r>
        <w:t>营业收入增长率2024年为11.72%，较2023年下降9.11个百分点。</w:t>
      </w:r>
    </w:p>
    <w:p>
      <w:r>
        <w:t>净利润增长率2024年为-6.74%，较2023年下降29.50个百分点。</w:t>
      </w:r>
    </w:p>
    <w:p>
      <w:r>
        <w:t>总资产增长率2024年为17.81%，较2023年上升0.07个百分点。</w:t>
      </w:r>
    </w:p>
    <w:p>
      <w:r>
        <w:t>所有者权益增长率2024年为5.13%，较2023年下降2.01个百分点。</w:t>
      </w:r>
    </w:p>
    <w:p>
      <w:r>
        <w:t>若收入增长与净利润、经营活动现金流量净额变化不同步，应优先检查毛利率、费用率、营运资金占用和非经常性损益影响。</w:t>
      </w:r>
    </w:p>
    <w:p>
      <w:r>
        <w:t>成长能力分析关注“规模、利润、现金流”三者是否匹配。收入增长不能单独证明经营质量改善，只有净利润和经营活动现金流量净额同步改善，成长才更具可持续性。</w:t>
      </w:r>
    </w:p>
    <w:p>
      <w:pPr>
        <w:pStyle w:val="Heading2"/>
      </w:pPr>
      <w:r>
        <w:t>十二、杜邦综合分析</w:t>
      </w:r>
    </w:p>
    <w:p>
      <w:r>
        <w:t>2023 年至 2024 年净资产收益率（ROE）下降，变化主要受权益乘数影响。</w:t>
      </w:r>
    </w:p>
    <w:p>
      <w:pPr>
        <w:pStyle w:val="Heading2"/>
      </w:pPr>
      <w:r>
        <w:t>十三、现金流量质量与盈余质量分析</w:t>
      </w:r>
    </w:p>
    <w:p>
      <w:r>
        <w:t>现金流量质量评价：风险较高。</w:t>
      </w:r>
    </w:p>
    <w:p>
      <w:r>
        <w:t>净利润现金含量连续低于 100%，提示利润现金含量需要关注。 经营活动现金流量净额呈下降趋势，需结合应收账款、存货和收入确认质量进一步分析。</w:t>
      </w:r>
    </w:p>
    <w:p>
      <w:pPr>
        <w:pStyle w:val="Heading2"/>
      </w:pPr>
      <w:r>
        <w:t>十四、异常信号与风险提示</w:t>
      </w:r>
    </w:p>
    <w:p>
      <w:r>
        <w:t>本次共触发8条风险提示，其中高风险1条、中风险7条、低风险0条；优先关注：应收账款增长异常、存货增长较快、毛利率连续下降。</w:t>
      </w:r>
    </w:p>
    <w:p>
      <w:pPr>
        <w:pStyle w:val="ListBullet"/>
      </w:pPr>
      <w:r>
        <w:t>**应收账款增长异常（中风险）**：2024 年应收账款增长率 51.22%，高于营业收入增长率 11.72%。 提示赊销规模或回款压力可能上升，收入质量需结合账龄结构进一步核查。 建议：关注客户信用政策、应收账款账龄和坏账准备计提充分性。</w:t>
      </w:r>
    </w:p>
    <w:p>
      <w:pPr>
        <w:pStyle w:val="ListBullet"/>
      </w:pPr>
      <w:r>
        <w:t>**存货增长较快（中风险）**：2024 年存货增长率 46.15%，高于营业成本增长率 17.39%。 提示存货周转和跌价压力可能增加。 建议：进一步核查存货库龄、产品结构和跌价准备计提情况。</w:t>
      </w:r>
    </w:p>
    <w:p>
      <w:pPr>
        <w:pStyle w:val="ListBullet"/>
      </w:pPr>
      <w:r>
        <w:t>**毛利率连续下降（中风险）**：毛利率近三年连续下降。 提示产品竞争力或成本控制可能承压。 建议：关注售价、原材料成本、产品结构和费用转嫁能力。</w:t>
      </w:r>
    </w:p>
    <w:p>
      <w:pPr>
        <w:pStyle w:val="ListBullet"/>
      </w:pPr>
      <w:r>
        <w:t>**资产负债率持续上升（中风险）**：资产负债率近三年持续上升。 提示偿债压力和财务弹性需关注。 建议：进一步区分金融性负债与经营性负债，并关注债务期限结构。</w:t>
      </w:r>
    </w:p>
    <w:p>
      <w:pPr>
        <w:pStyle w:val="ListBullet"/>
      </w:pPr>
      <w:r>
        <w:t>**短期偿债能力下降（中风险）**：2024 年流动比率和速动比率较上年同时下降。 提示短期偿债安全边际可能收窄。 建议：关注流动负债到期压力、受限资金和存货变现能力。</w:t>
      </w:r>
    </w:p>
    <w:p>
      <w:pPr>
        <w:pStyle w:val="ListBullet"/>
      </w:pPr>
      <w:r>
        <w:t>**经营活动现金流量净额长期低于净利润（高风险）**：净利润现金含量至少两个年度低于 100%。 提示盈余质量和利润现金含量需关注。 建议：结合商业信用、应收账款回款和存货占用进一步核查。</w:t>
      </w:r>
    </w:p>
    <w:p>
      <w:pPr>
        <w:pStyle w:val="ListBullet"/>
      </w:pPr>
      <w:r>
        <w:t>**资产减值损失大幅增加（中风险）**：2024 年资产减值相关项目增长 72.22%。 提示资产质量可能承压，需关注减值测试和相关资产可收回金额。 建议：进一步核查应收、存货、商誉和长期资产减值明细。</w:t>
      </w:r>
    </w:p>
    <w:p>
      <w:pPr>
        <w:pStyle w:val="ListBullet"/>
      </w:pPr>
      <w:r>
        <w:t>**非经常性损益影响较大（中风险）**：2024 年非经常性损益占净利润比例约 25.30%。 提示利润可持续性需关注。 建议：重点比较扣非净利润和经常性业务盈利能力。</w:t>
      </w:r>
    </w:p>
    <w:p>
      <w:pPr>
        <w:pStyle w:val="Heading2"/>
      </w:pPr>
      <w:r>
        <w:t>十五、综合评价与改进建议</w:t>
      </w:r>
    </w:p>
    <w:p>
      <w:r>
        <w:t>综合判断应优先围绕盈利质量、现金流量匹配、偿债压力和营运资金占用展开。建议按以下顺序核查：</w:t>
      </w:r>
    </w:p>
    <w:p>
      <w:pPr>
        <w:pStyle w:val="ListBullet"/>
      </w:pPr>
      <w:r>
        <w:t>应收账款增长异常：关注客户信用政策、应收账款账龄和坏账准备计提充分性。</w:t>
      </w:r>
    </w:p>
    <w:p>
      <w:pPr>
        <w:pStyle w:val="ListBullet"/>
      </w:pPr>
      <w:r>
        <w:t>存货增长较快：进一步核查存货库龄、产品结构和跌价准备计提情况。</w:t>
      </w:r>
    </w:p>
    <w:p>
      <w:pPr>
        <w:pStyle w:val="ListBullet"/>
      </w:pPr>
      <w:r>
        <w:t>毛利率连续下降：关注售价、原材料成本、产品结构和费用转嫁能力。</w:t>
      </w:r>
    </w:p>
    <w:p>
      <w:pPr>
        <w:pStyle w:val="ListBullet"/>
      </w:pPr>
      <w:r>
        <w:t>资产负债率持续上升：进一步区分金融性负债与经营性负债，并关注债务期限结构。</w:t>
      </w:r>
    </w:p>
    <w:p>
      <w:pPr>
        <w:pStyle w:val="ListBullet"/>
      </w:pPr>
      <w:r>
        <w:t>现金流量质量：重点核查应收账款回款、存货占用和收入确认节奏。</w:t>
      </w:r>
    </w:p>
    <w:p>
      <w:pPr>
        <w:pStyle w:val="Heading2"/>
      </w:pPr>
      <w:r>
        <w:t>十六、附录：指标公式、数据来源、Agent 工具调用记录</w:t>
      </w:r>
    </w:p>
    <w:p>
      <w:pPr>
        <w:pStyle w:val="Heading3"/>
      </w:pPr>
      <w:r>
        <w:t>主要指标表</w:t>
      </w:r>
    </w:p>
    <w:p>
      <w:r>
        <w:t>| 指标类别     | 指标名称             | 2022     | 2023    | 2024   |</w:t>
      </w:r>
    </w:p>
    <w:p>
      <w:r>
        <w:t>|:-------------|:---------------------|:---------|:--------|:-------|</w:t>
      </w:r>
    </w:p>
    <w:p>
      <w:r>
        <w:t>| 偿债能力     | 权益乘数             | 1.70     | 1.87    | 2.10   |</w:t>
      </w:r>
    </w:p>
    <w:p>
      <w:r>
        <w:t>| 偿债能力     | 流动比率             | 1.97     | 1.81    | 1.66   |</w:t>
      </w:r>
    </w:p>
    <w:p>
      <w:r>
        <w:t>| 偿债能力     | 资产负债率           | 41.29%   | 46.58%  | 52.33% |</w:t>
      </w:r>
    </w:p>
    <w:p>
      <w:r>
        <w:t>| 偿债能力     | 速动比率             | 1.47     | 1.25    | 0.98   |</w:t>
      </w:r>
    </w:p>
    <w:p>
      <w:r>
        <w:t>| 成长能力     | 净利润增长率         | 数据缺失 | 22.76%  | -6.74% |</w:t>
      </w:r>
    </w:p>
    <w:p>
      <w:r>
        <w:t>| 成长能力     | 总资产增长率         | 数据缺失 | 17.74%  | 17.81% |</w:t>
      </w:r>
    </w:p>
    <w:p>
      <w:r>
        <w:t>| 成长能力     | 所有者权益增长率     | 数据缺失 | 7.14%   | 5.13%  |</w:t>
      </w:r>
    </w:p>
    <w:p>
      <w:r>
        <w:t>| 成长能力     | 营业收入增长率       | 数据缺失 | 20.83%  | 11.72% |</w:t>
      </w:r>
    </w:p>
    <w:p>
      <w:r>
        <w:t>| 现金流量质量 | 净利润现金含量       | 110.34%  | 70.22%  | 59.04% |</w:t>
      </w:r>
    </w:p>
    <w:p>
      <w:r>
        <w:t>| 现金流量质量 | 经营现金流量收入比率 | 13.33%   | 8.62%   | 6.05%  |</w:t>
      </w:r>
    </w:p>
    <w:p>
      <w:r>
        <w:t>| 现金流量质量 | 销售收现比率         | 108.33%  | 103.45% | 97.53% |</w:t>
      </w:r>
    </w:p>
    <w:p>
      <w:r>
        <w:t>| 盈利能力     | 净利率               | 12.08%   | 12.28%  | 10.25% |</w:t>
      </w:r>
    </w:p>
    <w:p>
      <w:r>
        <w:t>| 盈利能力     | 净资产收益率（ROE）  | 7.97%    | 9.44%   | 8.30%  |</w:t>
      </w:r>
    </w:p>
    <w:p>
      <w:r>
        <w:t>| 盈利能力     | 总资产报酬率（ROA）  | 4.68%    | 5.27%   | 4.18%  |</w:t>
      </w:r>
    </w:p>
    <w:p>
      <w:r>
        <w:t>| 盈利能力     | 毛利率               | 40.00%   | 36.55%  | 33.33% |</w:t>
      </w:r>
    </w:p>
    <w:p>
      <w:r>
        <w:t>| 营运能力     | 存货周转率           | 1.89     | 2.04    | 1.69   |</w:t>
      </w:r>
    </w:p>
    <w:p>
      <w:r>
        <w:t>| 营运能力     | 应收账款周转率       | 4.62     | 4.33    | 3.15   |</w:t>
      </w:r>
    </w:p>
    <w:p>
      <w:r>
        <w:t>| 营运能力     | 总资产周转率         | 0.39     | 0.43    | 0.41   |</w:t>
      </w:r>
    </w:p>
    <w:p>
      <w:pPr>
        <w:pStyle w:val="Heading3"/>
      </w:pPr>
      <w:r>
        <w:t>Agent 工具调用记录</w:t>
      </w:r>
    </w:p>
    <w:p>
      <w:pPr>
        <w:pStyle w:val="ListBullet"/>
      </w:pPr>
      <w:r>
        <w:t>1. llm_model：完成，未配置 DEEPSEEK_API_KEY，将使用 Python fallback pipeline。</w:t>
      </w:r>
    </w:p>
    <w:p>
      <w:pPr>
        <w:pStyle w:val="ListBullet"/>
      </w:pPr>
      <w:r>
        <w:t>2. main_agent：完成，未配置 API Key，使用固定工具链完成分析。</w:t>
      </w:r>
    </w:p>
    <w:p>
      <w:pPr>
        <w:pStyle w:val="ListBullet"/>
      </w:pPr>
      <w:r>
        <w:t>3. file_loader：完成，读取 15 行、4 列。</w:t>
      </w:r>
    </w:p>
    <w:p>
      <w:pPr>
        <w:pStyle w:val="ListBullet"/>
      </w:pPr>
      <w:r>
        <w:t>4. pdf_parser：跳过，未启用或未上传 PDF。</w:t>
      </w:r>
    </w:p>
    <w:p>
      <w:pPr>
        <w:pStyle w:val="ListBullet"/>
      </w:pPr>
      <w:r>
        <w:t>5. data_cleaner：完成，识别 15 个标准科目、3 个年度。</w:t>
      </w:r>
    </w:p>
    <w:p>
      <w:pPr>
        <w:pStyle w:val="ListBullet"/>
      </w:pPr>
      <w:r>
        <w:t>6. data_validator：完成，数据校验完成：通过 10 项，关注 0 项，异常 0 项。</w:t>
      </w:r>
    </w:p>
    <w:p>
      <w:pPr>
        <w:pStyle w:val="ListBullet"/>
      </w:pPr>
      <w:r>
        <w:t>7. ratio_calculator：完成，生成 54 条指标记录。</w:t>
      </w:r>
    </w:p>
    <w:p>
      <w:pPr>
        <w:pStyle w:val="ListBullet"/>
      </w:pPr>
      <w:r>
        <w:t>8. trend_analyzer：完成，生成 14 条趋势判断。</w:t>
      </w:r>
    </w:p>
    <w:p>
      <w:pPr>
        <w:pStyle w:val="ListBullet"/>
      </w:pPr>
      <w:r>
        <w:t>9. dupont_analyzer：完成，2023 年至 2024 年净资产收益率（ROE）下降，变化主要受权益乘数影响。</w:t>
      </w:r>
    </w:p>
    <w:p>
      <w:pPr>
        <w:pStyle w:val="ListBullet"/>
      </w:pPr>
      <w:r>
        <w:t>10. cashflow_analyzer：完成，现金流量质量评价：风险较高</w:t>
      </w:r>
    </w:p>
    <w:p>
      <w:pPr>
        <w:pStyle w:val="ListBullet"/>
      </w:pPr>
      <w:r>
        <w:t>11. risk_detector：完成，触发 8 条风险提示。</w:t>
      </w:r>
    </w:p>
    <w:p>
      <w:pPr>
        <w:pStyle w:val="ListBullet"/>
      </w:pPr>
      <w:r>
        <w:t>12. chart_generator：完成，保存 5 个图表 HTML。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