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rFonts w:ascii="맑은 고딕" w:cs="맑은 고딕" w:eastAsia="맑은 고딕" w:hAnsi="맑은 고딕"/>
          <w:b/>
          <w:bCs/>
          <w:color w:val="1F4E79"/>
          <w:sz w:val="32"/>
          <w:szCs w:val="32"/>
        </w:rPr>
        <w:t xml:space="preserve">자료 협조 요청 메일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받는 사람</w:t>
            </w:r>
          </w:p>
        </w:tc>
        <w:tc>
          <w:tcPr>
            <w:tcW w:type="dxa" w:w="8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부산경제진흥원 [담당 부서 / 담당자명] 님</w:t>
            </w:r>
          </w:p>
        </w:tc>
      </w:tr>
      <w:t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보내는 사람</w:t>
            </w:r>
          </w:p>
        </w:tc>
        <w:tc>
          <w:tcPr>
            <w:tcW w:type="dxa" w:w="8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[회사명] [부서] [성명] (부산시 해양항만 AI 실증센터 ISP 수행사)</w:t>
            </w:r>
          </w:p>
        </w:tc>
      </w:tr>
      <w:t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제목</w:t>
            </w:r>
          </w:p>
        </w:tc>
        <w:tc>
          <w:tcPr>
            <w:tcW w:type="dxa" w:w="8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[자료 협조 요청] 부산시 해양항만 AI 실증센터 ISP 수행 관련 참고자료 요청의 건</w:t>
            </w:r>
          </w:p>
        </w:tc>
      </w:tr>
      <w:t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첨부</w:t>
            </w:r>
          </w:p>
        </w:tc>
        <w:tc>
          <w:tcPr>
            <w:tcW w:type="dxa" w:w="81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자료 요청 목록 (본문 표와 동일)</w:t>
            </w:r>
          </w:p>
        </w:tc>
      </w:tr>
    </w:tbl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안녕하십니까, 부산경제진흥원 [담당자명] 님.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저는 부산광역시 「해양항만 AI 실증센터 정보화전략계획(ISP)」 수립 용역을 수행하고 있는 [회사명] [성명]입니다. 바쁘신 중에 연락드리게 되어 양해 부탁드립니다.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현재 본 ISP에서는 센터의 목표 모델, 전체 아키텍처, 서비스 플로우, 운영 모델을 수립하고 있습니다. 귀 기관에서 구축·운영해 오신 사업이 저희 사업과 성격이 유사하여 핵심 참고 사례로 삼고자 하며, 아래와 같이 관련 자료의 협조를 요청드립니다.</w:t>
      </w:r>
    </w:p>
    <w:p>
      <w:pPr>
        <w:pBdr>
          <w:bottom w:val="single" w:color="1F4E79" w:sz="6" w:space="2"/>
        </w:pBdr>
        <w:spacing w:after="120" w:before="240"/>
      </w:pPr>
      <w:r>
        <w:rPr>
          <w:rFonts w:ascii="맑은 고딕" w:cs="맑은 고딕" w:eastAsia="맑은 고딕" w:hAnsi="맑은 고딕"/>
          <w:b/>
          <w:bCs/>
          <w:color w:val="1F4E79"/>
          <w:sz w:val="23"/>
          <w:szCs w:val="23"/>
        </w:rPr>
        <w:t xml:space="preserve">1. 요청 배경 및 활용 목적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센터의 목표 모델과 논리·물리 아키텍처(보안 포함)를 일관성 있게 수립하기 위한 참고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기업 대상 실증 서비스의 이용 절차(신청 → 실증 → 결과 반출 → 파기)와 서비스 체계 설계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운영 주체·조직, 운영비 및 재원 구조, 성과지표(KPI) 등 지속 가능한 운영 모델 도출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데이터 등급 관리, 접근권한, 반입·반출 통제 등 보안 가이드라인 수립</w:t>
      </w:r>
    </w:p>
    <w:p>
      <w:pPr>
        <w:pBdr>
          <w:bottom w:val="single" w:color="1F4E79" w:sz="6" w:space="2"/>
        </w:pBdr>
        <w:spacing w:after="120" w:before="240"/>
      </w:pPr>
      <w:r>
        <w:rPr>
          <w:rFonts w:ascii="맑은 고딕" w:cs="맑은 고딕" w:eastAsia="맑은 고딕" w:hAnsi="맑은 고딕"/>
          <w:b/>
          <w:bCs/>
          <w:color w:val="1F4E79"/>
          <w:sz w:val="23"/>
          <w:szCs w:val="23"/>
        </w:rPr>
        <w:t xml:space="preserve">2. 요청 자료 목록</w:t>
      </w:r>
    </w:p>
    <w:p>
      <w:pPr>
        <w:spacing w:after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※ 우선순위: </w:t>
      </w:r>
      <w:r>
        <w:rPr>
          <w:rFonts w:ascii="맑은 고딕" w:cs="맑은 고딕" w:eastAsia="맑은 고딕" w:hAnsi="맑은 고딕"/>
          <w:sz w:val="18"/>
          <w:szCs w:val="18"/>
        </w:rPr>
        <w:t xml:space="preserve">◎ 필수   ○ 권장   △ 있으면 참고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300"/>
        <w:gridCol w:w="800"/>
        <w:gridCol w:w="2838"/>
      </w:tblGrid>
      <w:tr>
        <w:trPr>
          <w:tblHeader/>
        </w:trP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No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요청 자료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우선</w:t>
            </w:r>
          </w:p>
        </w:tc>
        <w:tc>
          <w:tcPr>
            <w:tcW w:type="dxa" w:w="2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4E7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활용 목적</w:t>
            </w:r>
          </w:p>
        </w:tc>
      </w:tr>
      <w:tr>
        <w:tc>
          <w:tcPr>
            <w:tcW w:type="dxa" w:w="9638"/>
            <w:gridSpan w:val="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1. 아키텍처 (최우선)</w:t>
            </w:r>
          </w:p>
        </w:tc>
      </w:tr>
      <w:t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1-1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모델(To-Be) 개념도: 센터 비전·역할·서비스·인프라를 한 장으로 표현한 그림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◎</w:t>
            </w:r>
          </w:p>
        </w:tc>
        <w:tc>
          <w:tcPr>
            <w:tcW w:type="dxa" w:w="2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모델 수립 프레임</w:t>
            </w:r>
          </w:p>
        </w:tc>
      </w:tr>
      <w:t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1-2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논리 아키텍처 전체 구성도 (인프라 / 데이터 / AI 플랫폼 / 서비스 / 포털 계층)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◎</w:t>
            </w:r>
          </w:p>
        </w:tc>
        <w:tc>
          <w:tcPr>
            <w:tcW w:type="dxa" w:w="2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산출물 간 논리 정합성 확보</w:t>
            </w:r>
          </w:p>
        </w:tc>
      </w:tr>
      <w:t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1-3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물리·네트워크 구성도 (망 분리, DMZ, 내·외부망, 전용회선, 기관 연계 구간)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◎</w:t>
            </w:r>
          </w:p>
        </w:tc>
        <w:tc>
          <w:tcPr>
            <w:tcW w:type="dxa" w:w="2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보안 구역 설계</w:t>
            </w:r>
          </w:p>
        </w:tc>
      </w:tr>
      <w:t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1-4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보안 아키텍처 (데이터 등급별 공간 구획, 격리 분석환경, 접근통제, 반출 통제)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◎</w:t>
            </w:r>
          </w:p>
        </w:tc>
        <w:tc>
          <w:tcPr>
            <w:tcW w:type="dxa" w:w="2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안심존·격리환경 설계</w:t>
            </w:r>
          </w:p>
        </w:tc>
      </w:tr>
      <w:t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1-5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 흐름도 (기업 데이터 반입 → 가공·학습 → 반출 심사 → 파기)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◎</w:t>
            </w:r>
          </w:p>
        </w:tc>
        <w:tc>
          <w:tcPr>
            <w:tcW w:type="dxa" w:w="2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반입·반출 프로세스 설계</w:t>
            </w:r>
          </w:p>
        </w:tc>
      </w:tr>
      <w:t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1-6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GPU/CPU 자원 구성 및 할당 방식 (스케줄러, 멀티테넌시, 쿼터 정책)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◎</w:t>
            </w:r>
          </w:p>
        </w:tc>
        <w:tc>
          <w:tcPr>
            <w:tcW w:type="dxa" w:w="2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자원 배분·용량 산정</w:t>
            </w:r>
          </w:p>
        </w:tc>
      </w:tr>
      <w:t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1-7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AI 개발환경 구성 (MLOps, 개발도구, 컨테이너·가상화 환경)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○</w:t>
            </w:r>
          </w:p>
        </w:tc>
        <w:tc>
          <w:tcPr>
            <w:tcW w:type="dxa" w:w="2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개발 도구 환경 검토</w:t>
            </w:r>
          </w:p>
        </w:tc>
      </w:tr>
      <w:t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1-8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파운데이션 모델·LLM 운영 구조 (온프레미스 모델과 외부 상용 API 분리, 입출력 필터링)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◎</w:t>
            </w:r>
          </w:p>
        </w:tc>
        <w:tc>
          <w:tcPr>
            <w:tcW w:type="dxa" w:w="2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 LLM 보안 리스크 대응</w:t>
            </w:r>
          </w:p>
        </w:tc>
      </w:tr>
      <w:t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1-9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 시스템·공공데이터 연계 구성도 및 인터페이스 정의서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○</w:t>
            </w:r>
          </w:p>
        </w:tc>
        <w:tc>
          <w:tcPr>
            <w:tcW w:type="dxa" w:w="2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 연계 방식 검토</w:t>
            </w:r>
          </w:p>
        </w:tc>
      </w:tr>
      <w:t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1-10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하드웨어·소프트웨어 구성 내역 및 용량 산정 근거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○</w:t>
            </w:r>
          </w:p>
        </w:tc>
        <w:tc>
          <w:tcPr>
            <w:tcW w:type="dxa" w:w="2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산정 근거</w:t>
            </w:r>
          </w:p>
        </w:tc>
      </w:tr>
      <w:tr>
        <w:tc>
          <w:tcPr>
            <w:tcW w:type="dxa" w:w="9638"/>
            <w:gridSpan w:val="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2. 서비스 플로우 / 서비스 맵</w:t>
            </w:r>
          </w:p>
        </w:tc>
      </w:tr>
      <w:t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2-1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 맵(서비스 체계도): 대상별·단계별 서비스 분류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◎</w:t>
            </w:r>
          </w:p>
        </w:tc>
        <w:tc>
          <w:tcPr>
            <w:tcW w:type="dxa" w:w="2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 테마 그룹핑 기준</w:t>
            </w:r>
          </w:p>
        </w:tc>
      </w:tr>
      <w:t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2-2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기업 이용 서비스 플로우 (신청·접수 → 적격성 심사 → 매칭·승인 → 이용계획 확정 → 개발·실증 → 결과 반출 → 종료·파기)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◎</w:t>
            </w:r>
          </w:p>
        </w:tc>
        <w:tc>
          <w:tcPr>
            <w:tcW w:type="dxa" w:w="2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이용 프로세스 설계</w:t>
            </w:r>
          </w:p>
        </w:tc>
      </w:tr>
      <w:t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2-3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 카탈로그 (서비스명, 내용, 대상, 제공 방식, 이용 조건)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◎</w:t>
            </w:r>
          </w:p>
        </w:tc>
        <w:tc>
          <w:tcPr>
            <w:tcW w:type="dxa" w:w="2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 모델 정리</w:t>
            </w:r>
          </w:p>
        </w:tc>
      </w:tr>
      <w:t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2-4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 카탈로그·메타데이터 관리 체계 (해당 시)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○</w:t>
            </w:r>
          </w:p>
        </w:tc>
        <w:tc>
          <w:tcPr>
            <w:tcW w:type="dxa" w:w="2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카탈로그 기반 데이터 제공 모델</w:t>
            </w:r>
          </w:p>
        </w:tc>
      </w:tr>
      <w:t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2-5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실증(PoC) 지원 프로세스, 과제 선정 기준 및 평가표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◎</w:t>
            </w:r>
          </w:p>
        </w:tc>
        <w:tc>
          <w:tcPr>
            <w:tcW w:type="dxa" w:w="2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대표 실증 과제 선정</w:t>
            </w:r>
          </w:p>
        </w:tc>
      </w:tr>
      <w:t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2-6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컨설팅·멘토링(전문가 풀) 운영 방식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○</w:t>
            </w:r>
          </w:p>
        </w:tc>
        <w:tc>
          <w:tcPr>
            <w:tcW w:type="dxa" w:w="2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특화 지원 체계</w:t>
            </w:r>
          </w:p>
        </w:tc>
      </w:tr>
      <w:t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2-7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이용자 포털 화면 구성 (메뉴 구조, 주요 화면)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△</w:t>
            </w:r>
          </w:p>
        </w:tc>
        <w:tc>
          <w:tcPr>
            <w:tcW w:type="dxa" w:w="2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포털 기능 정의</w:t>
            </w:r>
          </w:p>
        </w:tc>
      </w:tr>
      <w:tr>
        <w:tc>
          <w:tcPr>
            <w:tcW w:type="dxa" w:w="9638"/>
            <w:gridSpan w:val="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3. 운영 모델</w:t>
            </w:r>
          </w:p>
        </w:tc>
      </w:tr>
      <w:t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3-1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운영 조직도 및 인력 구성 (직무별 인원, 역할 정의)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◎</w:t>
            </w:r>
          </w:p>
        </w:tc>
        <w:tc>
          <w:tcPr>
            <w:tcW w:type="dxa" w:w="2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조직 구성안</w:t>
            </w:r>
          </w:p>
        </w:tc>
      </w:tr>
      <w:t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3-2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운영 방식 (직영·위탁·공동운영 여부, 위탁 범위, 운영위원회 등 거버넌스)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◎</w:t>
            </w:r>
          </w:p>
        </w:tc>
        <w:tc>
          <w:tcPr>
            <w:tcW w:type="dxa" w:w="2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운영 주체 비교 분석</w:t>
            </w:r>
          </w:p>
        </w:tc>
      </w:tr>
      <w:t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3-3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운영 규정·지침 (이용규정, 자원 배분 기준, 반출 심의위원회 운영 규정)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◎</w:t>
            </w:r>
          </w:p>
        </w:tc>
        <w:tc>
          <w:tcPr>
            <w:tcW w:type="dxa" w:w="2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운영 규칙 수립</w:t>
            </w:r>
          </w:p>
        </w:tc>
      </w:tr>
      <w:t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3-4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이용약관, 보안서약서, 이용 협약서 양식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◎</w:t>
            </w:r>
          </w:p>
        </w:tc>
        <w:tc>
          <w:tcPr>
            <w:tcW w:type="dxa" w:w="2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반입·반출 협약 체계</w:t>
            </w:r>
          </w:p>
        </w:tc>
      </w:tr>
      <w:t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3-5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연간 운영비 구성 내역 및 산정 근거 (인건비, 유지보수, 전력, 회선, 라이선스)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◎</w:t>
            </w:r>
          </w:p>
        </w:tc>
        <w:tc>
          <w:tcPr>
            <w:tcW w:type="dxa" w:w="2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운영비 산정</w:t>
            </w:r>
          </w:p>
        </w:tc>
      </w:tr>
      <w:t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3-6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수익 모델 및 이용료 체계 (유·무상 기준, 단가표), 재원 구조 (국비·시비·자체)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◎</w:t>
            </w:r>
          </w:p>
        </w:tc>
        <w:tc>
          <w:tcPr>
            <w:tcW w:type="dxa" w:w="2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중장기 자립 운영 방안</w:t>
            </w:r>
          </w:p>
        </w:tc>
      </w:tr>
      <w:t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3-7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운영 SLA, 장애 대응 및 기술지원(헬프데스크) 체계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○</w:t>
            </w:r>
          </w:p>
        </w:tc>
        <w:tc>
          <w:tcPr>
            <w:tcW w:type="dxa" w:w="2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운영 프로세스</w:t>
            </w:r>
          </w:p>
        </w:tc>
      </w:tr>
      <w:t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3-8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유관기관 협력 체계 (MOU, 역할 분담)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○</w:t>
            </w:r>
          </w:p>
        </w:tc>
        <w:tc>
          <w:tcPr>
            <w:tcW w:type="dxa" w:w="2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기관 간 역할 분담</w:t>
            </w:r>
          </w:p>
        </w:tc>
      </w:tr>
      <w:tr>
        <w:tc>
          <w:tcPr>
            <w:tcW w:type="dxa" w:w="9638"/>
            <w:gridSpan w:val="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4. 보안·데이터 거버넌스</w:t>
            </w:r>
          </w:p>
        </w:tc>
      </w:tr>
      <w:t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4-1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 등급 분류 기준 및 등급별 접근권한 정책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◎</w:t>
            </w:r>
          </w:p>
        </w:tc>
        <w:tc>
          <w:tcPr>
            <w:tcW w:type="dxa" w:w="2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보안 가이드라인 수립</w:t>
            </w:r>
          </w:p>
        </w:tc>
      </w:tr>
      <w:t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4-2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보안성 검토 결과(목차·요약 수준) 및 국가 사이버보안 지침 대응 내역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◎</w:t>
            </w:r>
          </w:p>
        </w:tc>
        <w:tc>
          <w:tcPr>
            <w:tcW w:type="dxa" w:w="2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RFP 보안 요구사항</w:t>
            </w:r>
          </w:p>
        </w:tc>
      </w:tr>
      <w:t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4-3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가명처리·합성데이터 처리 절차 (해당 시)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○</w:t>
            </w:r>
          </w:p>
        </w:tc>
        <w:tc>
          <w:tcPr>
            <w:tcW w:type="dxa" w:w="2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 접근성 지원 방안</w:t>
            </w:r>
          </w:p>
        </w:tc>
      </w:tr>
      <w:t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4-4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반출 심사 기준·체크리스트, 파기 절차 및 확인서 양식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◎</w:t>
            </w:r>
          </w:p>
        </w:tc>
        <w:tc>
          <w:tcPr>
            <w:tcW w:type="dxa" w:w="2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반출·파기 절차</w:t>
            </w:r>
          </w:p>
        </w:tc>
      </w:tr>
      <w:t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4-5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보안 관련 예산 내역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○</w:t>
            </w:r>
          </w:p>
        </w:tc>
        <w:tc>
          <w:tcPr>
            <w:tcW w:type="dxa" w:w="2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보안 예산 도출</w:t>
            </w:r>
          </w:p>
        </w:tc>
      </w:tr>
      <w:tr>
        <w:tc>
          <w:tcPr>
            <w:tcW w:type="dxa" w:w="9638"/>
            <w:gridSpan w:val="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5. 성과관리(KPI)·실적</w:t>
            </w:r>
          </w:p>
        </w:tc>
      </w:tr>
      <w:t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5-1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성과지표(KPI) 정의서 (지표, 산식, 목표치, 기준값)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◎</w:t>
            </w:r>
          </w:p>
        </w:tc>
        <w:tc>
          <w:tcPr>
            <w:tcW w:type="dxa" w:w="2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정량 KPI 도출</w:t>
            </w:r>
          </w:p>
        </w:tc>
      </w:tr>
      <w:t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5-2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연도별 운영 실적 (이용 기업 수, 자원 가동률, 지원 과제 수)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◎</w:t>
            </w:r>
          </w:p>
        </w:tc>
        <w:tc>
          <w:tcPr>
            <w:tcW w:type="dxa" w:w="2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목표치 설정 근거</w:t>
            </w:r>
          </w:p>
        </w:tc>
      </w:tr>
      <w:t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5-3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기업 성과 사례 (비용 절감, 매출 증대, 고용, 해외 진출)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○</w:t>
            </w:r>
          </w:p>
        </w:tc>
        <w:tc>
          <w:tcPr>
            <w:tcW w:type="dxa" w:w="2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사업 실효성 논리</w:t>
            </w:r>
          </w:p>
        </w:tc>
      </w:tr>
      <w:t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5-4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이용자 만족도 조사 결과 및 조사지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△</w:t>
            </w:r>
          </w:p>
        </w:tc>
        <w:tc>
          <w:tcPr>
            <w:tcW w:type="dxa" w:w="2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성과 측정 방식</w:t>
            </w:r>
          </w:p>
        </w:tc>
      </w:tr>
      <w:tr>
        <w:tc>
          <w:tcPr>
            <w:tcW w:type="dxa" w:w="9638"/>
            <w:gridSpan w:val="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6. 사업 추진·기획 문서</w:t>
            </w:r>
          </w:p>
        </w:tc>
      </w:tr>
      <w:t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6-1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ISP / 기본계획 최종보고서 (목차·요약본 가능)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◎</w:t>
            </w:r>
          </w:p>
        </w:tc>
        <w:tc>
          <w:tcPr>
            <w:tcW w:type="dxa" w:w="2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전체 체계 벤치마킹</w:t>
            </w:r>
          </w:p>
        </w:tc>
      </w:tr>
      <w:t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6-2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구축 사업 제안요청서(RFP) 및 과업지시서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◎</w:t>
            </w:r>
          </w:p>
        </w:tc>
        <w:tc>
          <w:tcPr>
            <w:tcW w:type="dxa" w:w="2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요구사항·RFP 작성</w:t>
            </w:r>
          </w:p>
        </w:tc>
      </w:tr>
      <w:t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6-3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구축비 총괄표 및 단계별 추진 일정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○</w:t>
            </w:r>
          </w:p>
        </w:tc>
        <w:tc>
          <w:tcPr>
            <w:tcW w:type="dxa" w:w="2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예산·단계 계획</w:t>
            </w:r>
          </w:p>
        </w:tc>
      </w:tr>
      <w:t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6-4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수요조사 설문지 및 심층 인터뷰 질문지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○</w:t>
            </w:r>
          </w:p>
        </w:tc>
        <w:tc>
          <w:tcPr>
            <w:tcW w:type="dxa" w:w="2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수요조사 보완</w:t>
            </w:r>
          </w:p>
        </w:tc>
      </w:tr>
      <w:tr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6-5</w:t>
            </w:r>
          </w:p>
        </w:tc>
        <w:tc>
          <w:tcPr>
            <w:tcW w:type="dxa" w:w="5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구축·운영 시 시행착오 및 개선사항 (담당자 면담 가능 여부 포함)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○</w:t>
            </w:r>
          </w:p>
        </w:tc>
        <w:tc>
          <w:tcPr>
            <w:tcW w:type="dxa" w:w="2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리스크 사전 대응</w:t>
            </w:r>
          </w:p>
        </w:tc>
      </w:tr>
    </w:tbl>
    <w:p>
      <w:pPr>
        <w:pBdr>
          <w:bottom w:val="single" w:color="1F4E79" w:sz="6" w:space="2"/>
        </w:pBdr>
        <w:spacing w:after="120" w:before="240"/>
      </w:pPr>
      <w:r>
        <w:rPr>
          <w:rFonts w:ascii="맑은 고딕" w:cs="맑은 고딕" w:eastAsia="맑은 고딕" w:hAnsi="맑은 고딕"/>
          <w:b/>
          <w:bCs/>
          <w:color w:val="1F4E79"/>
          <w:sz w:val="23"/>
          <w:szCs w:val="23"/>
        </w:rPr>
        <w:t xml:space="preserve">3. 제공 형식 및 유의사항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보안 정보 제외 가능: </w:t>
      </w:r>
      <w:r>
        <w:rPr>
          <w:rFonts w:ascii="맑은 고딕" w:cs="맑은 고딕" w:eastAsia="맑은 고딕" w:hAnsi="맑은 고딕"/>
          <w:sz w:val="20"/>
          <w:szCs w:val="20"/>
        </w:rPr>
        <w:t xml:space="preserve">구성도는 IP 주소, 장비 모델명, 계정 정보 등을 제외한 개념 수준이어도 충분합니다.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요약본 제공 가능: </w:t>
      </w:r>
      <w:r>
        <w:rPr>
          <w:rFonts w:ascii="맑은 고딕" w:cs="맑은 고딕" w:eastAsia="맑은 고딕" w:hAnsi="맑은 고딕"/>
          <w:sz w:val="20"/>
          <w:szCs w:val="20"/>
        </w:rPr>
        <w:t xml:space="preserve">보고서·규정류는 전문이 어려울 경우 목차 또는 요약본으로 제공해 주셔도 됩니다.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원본 파일 선호: 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가능하시다면 PPT, Visio 등 원본 형식으로 주시면 검토에 큰 도움이 됩니다.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단계별 제공: 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일괄 제공이 어려우시면 ◎ 필수 항목(아키텍처, 서비스 플로우, 운영 모델, 운영비, KPI)을 우선 제공해 주시기 바랍니다.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활용 범위: </w:t>
      </w:r>
      <w:r>
        <w:rPr>
          <w:rFonts w:ascii="맑은 고딕" w:cs="맑은 고딕" w:eastAsia="맑은 고딕" w:hAnsi="맑은 고딕"/>
          <w:sz w:val="20"/>
          <w:szCs w:val="20"/>
        </w:rPr>
        <w:t xml:space="preserve">제공해 주신 자료는 본 ISP 수립을 위한 내부 참고용으로만 활용하며, 외부에 공개하거나 다른 용도로 사용하지 않겠습니다.</w:t>
      </w:r>
    </w:p>
    <w:p>
      <w:pPr>
        <w:pBdr>
          <w:bottom w:val="single" w:color="1F4E79" w:sz="6" w:space="2"/>
        </w:pBdr>
        <w:spacing w:after="120" w:before="240"/>
      </w:pPr>
      <w:r>
        <w:rPr>
          <w:rFonts w:ascii="맑은 고딕" w:cs="맑은 고딕" w:eastAsia="맑은 고딕" w:hAnsi="맑은 고딕"/>
          <w:b/>
          <w:bCs/>
          <w:color w:val="1F4E79"/>
          <w:sz w:val="23"/>
          <w:szCs w:val="23"/>
        </w:rPr>
        <w:t xml:space="preserve">4. 회신 요청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회신 희망일: [2026년 ○○월 ○○일(○)]까지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회신 방법: 본 메일 회신 또는 [대용량 파일 전송 경로]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자료 관련 설명을 위한 담당자 면담(30분 내외, 대면 또는 온라인)이 가능하시다면 일정도 함께 알려주시면 감사하겠습니다.</w:t>
      </w:r>
    </w:p>
    <w:p>
      <w:p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자료 준비에 번거로움을 드려 죄송합니다. 협조해 주시면 귀 기관의 사례를 잘 참고하여 좋은 결과를 낼 수 있도록 하겠습니다. 문의 사항이 있으시면 아래 연락처로 편하게 연락 주시기 바랍니다.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감사합니다.</w:t>
      </w:r>
    </w:p>
    <w:p>
      <w:pPr>
        <w:spacing w:after="8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4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[성명] 드림</w:t>
      </w:r>
    </w:p>
    <w:p>
      <w:pPr>
        <w:spacing w:after="4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[회사명] [부서] / [직급]</w:t>
      </w:r>
    </w:p>
    <w:p>
      <w:pPr>
        <w:spacing w:after="4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Tel. [000-0000-0000]  |  Mobile. [010-0000-0000]</w:t>
      </w:r>
    </w:p>
    <w:p>
      <w:pPr>
        <w:spacing w:after="4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E-mail. [이메일 주소]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2026-10-19T01:41:09.466Z</dcterms:created>
  <dcterms:modified xsi:type="dcterms:W3CDTF">2026-10-19T01:41:09.475Z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