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해양·항만 AX 실증센터 구축·운영 ISP/ISMP 수립 용역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착수보고회 자문의견 대응방안 (과제 5 · 8 · 9)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2차 자문회의(2026. 10. 2.) 보고자료  |  작성: 코난테크놀로지 (KCA 컨소시엄 AI 분야)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보고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500"/>
        <w:gridCol w:w="1800"/>
        <w:gridCol w:w="230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과제명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핵심 자문의견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자문위원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ISP 반영 위치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⑤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GPU 자원 배분·통제 규칙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목적 소명 기반 선정, 오남용 통제, 규모·역량별 맞춤 배분, 학습/추론(NPU) 구분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이기섭 박사(주)</w:t>
            </w:r>
          </w:p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이철용 센터장(부)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Ⅲ-2 → 2.6 운영·사업·보안 목표모델 / 2.4 GPU·IT 인프라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⑧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파운데이션 모델 활용 구조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업무에서 출발, 모델을 레고처럼 교체, 독자 AI 모델 동향, DX 초기 기업용 기초 모델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심성현 교수</w:t>
            </w:r>
          </w:p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김민호 교수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Ⅲ-2 → 2.3 AI 플랫폼 목표모델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⑨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 개발·실증 도구 구성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에이전트 도구(MCP 등), Human-in-the-loop 역할, 피지컬 AI 시뮬레이션, 추론용 자원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전성기 실장</w:t>
            </w:r>
          </w:p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김민호 교수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Ⅲ-2 → 2.3 AI 플랫폼 목표모델 / Ⅳ-1 로드맵·Ⅳ-4 RFP</w:t>
            </w:r>
          </w:p>
        </w:tc>
      </w:tr>
    </w:tbl>
    <w:p>
      <w:pPr>
        <w:spacing w:after="60"/>
      </w:pPr>
    </w:p>
    <w:p>
      <w:pPr>
        <w:spacing w:after="60" w:before="0" w:line="264"/>
      </w:pP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※ 10. 2.에는 </w:t>
      </w:r>
      <w:r>
        <w:rPr>
          <w:rFonts w:ascii="맑은 고딕" w:cs="맑은 고딕" w:eastAsia="맑은 고딕" w:hAnsi="맑은 고딕"/>
          <w:b/>
          <w:bCs/>
          <w:color w:val="404040"/>
          <w:sz w:val="17"/>
          <w:szCs w:val="17"/>
        </w:rPr>
        <w:t xml:space="preserve">추진계획(접근 방법·산출물 목차·기준안 초안)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 수준으로 보고하고, 확정안은 수요조사(과제 3)와 대표과제 PoC(과제 2) 결과를 반영해 </w:t>
      </w:r>
      <w:r>
        <w:rPr>
          <w:rFonts w:ascii="맑은 고딕" w:cs="맑은 고딕" w:eastAsia="맑은 고딕" w:hAnsi="맑은 고딕"/>
          <w:b/>
          <w:bCs/>
          <w:color w:val="404040"/>
          <w:sz w:val="17"/>
          <w:szCs w:val="17"/>
        </w:rPr>
        <w:t xml:space="preserve">중간보고 결과물</w:t>
      </w:r>
      <w:r>
        <w:rPr>
          <w:rFonts w:ascii="맑은 고딕" w:cs="맑은 고딕" w:eastAsia="맑은 고딕" w:hAnsi="맑은 고딕"/>
          <w:color w:val="404040"/>
          <w:sz w:val="17"/>
          <w:szCs w:val="17"/>
        </w:rPr>
        <w:t xml:space="preserve">로 제출함. 본 자료의 수치는 모두 예시(안)이며 PoC 부하 측정 후 재산정함.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세 과제의 연결 구조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세 과제는 기업이 센터에서 실증을 수행할 때 받는 지원을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"자원(⑤) – 모델(⑧) – 도구(⑨)"</w:t>
      </w:r>
      <w:r>
        <w:rPr>
          <w:rFonts w:ascii="맑은 고딕" w:cs="맑은 고딕" w:eastAsia="맑은 고딕" w:hAnsi="맑은 고딕"/>
          <w:sz w:val="18"/>
          <w:szCs w:val="18"/>
        </w:rPr>
        <w:t xml:space="preserve"> 로 나눈 것이며, 대표과제 PoC에서 함께 검증함.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7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연결 내용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① 업무·수요 정의</w:t>
            </w:r>
          </w:p>
        </w:tc>
        <w:tc>
          <w:tcPr>
            <w:tcW w:type="dxa" w:w="7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수요조사(과제 3)·대표과제(과제 2)에서 기업 업무와 해결 문제를 정의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② 모델 선택(⑧)</w:t>
            </w:r>
          </w:p>
        </w:tc>
        <w:tc>
          <w:tcPr>
            <w:tcW w:type="dxa" w:w="7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업무–모델–서비스 지도에서 후보 모델을 고르고, 적용·추가학습 방식 결정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③ 도구 제공(⑨)</w:t>
            </w:r>
          </w:p>
        </w:tc>
        <w:tc>
          <w:tcPr>
            <w:tcW w:type="dxa" w:w="7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선택된 모델의 개발·평가·에이전트·검토(HITL) 도구를 기업 수준에 맞춰 제공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④ 자원 배분(⑤)</w:t>
            </w:r>
          </w:p>
        </w:tc>
        <w:tc>
          <w:tcPr>
            <w:tcW w:type="dxa" w:w="7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모델 크기·작업 유형(학습/추론/전처리)에 따라 CPU·GPU·NPU를 배분하고 이용을 계측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⑤ 역산 산정</w:t>
            </w:r>
          </w:p>
        </w:tc>
        <w:tc>
          <w:tcPr>
            <w:tcW w:type="dxa" w:w="7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PoC 계측값(GPU-hour, 메모리, TPS)으로 센터 적정 용량과 도구 도입 순서를 역산</w:t>
            </w:r>
          </w:p>
        </w:tc>
      </w:tr>
    </w:tbl>
    <w:p>
      <w:r>
        <w:br w:type="page"/>
      </w:r>
    </w:p>
    <w:p>
      <w:pPr>
        <w:shd w:fill="1F3864" w:color="auto" w:val="clear"/>
        <w:spacing w:after="100" w:before="0"/>
        <w:ind w:left="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과제 5. GPU 자원 배분·통제 규칙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기업의 목적·역량·이용 기간에 맞게 연산자원을 배분하고, 공정하고 효율적인 이용을 관리함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자문위원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주: 이기섭 박사(KIOST) — 선정 기준, 오남용 감시·통제  /  부: 이철용 센터장(KIOST) — 기업 규모·역량별 맞춤 배분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자원 배분 기준안(선정 기준표·유형별 배분표·이용 규칙)  ② 이용 감시·통제 방안  ③ 자원 구성·용량 산정 근거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자문의견과 대응 요지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60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자문의견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 요지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이기섭 박사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신청하면 다 주는 방식이 아닌 활용 목적 소명, 공공자원 오남용(코인 채굴 등) 감시·통제, 일반 클라우드와의 차별성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목적 소명서 기반 선정 + 사용량 자동 계측·이상 탐지 + 단계별 제재 규칙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이철용 센터장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규모·역량·서비스 방식별 맞춤 배분, 기존 GPU 임대사업의 복잡한 신청·보고 절차 간소화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유형 4종별 배분 패키지, 결과보고를 플랫폼 계측 리포트로 대체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김민호 교수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학습은 GPU, 추론 서비스 실증은 NPU까지 고려 / 단기 시간제 한계, 고객 서비스 운영으로 서버가 묶인 사례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학습·추론·전처리 자원 풀 분리, 실증 종료 후 전환(이관) 경로 설계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이재웅 이사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CPU로 처리 가능한 영역까지 고려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작업 유형별 CPU 적합/GPU 적합/혼합 분류 후 배분</w:t>
            </w:r>
          </w:p>
        </w:tc>
      </w:tr>
    </w:tbl>
    <w:p>
      <w:pPr>
        <w:spacing w:after="8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7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19"/>
                <w:szCs w:val="19"/>
              </w:rPr>
              <w:t xml:space="preserve">대응 방향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선정은 "목적 소명 + 사업화 가능성"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배분은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"기업 유형 × 작업 유형"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기준으로 정하고 이를 한 장의 기준표로 제시함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학습 풀(GPU) · 추론 풀(GPU 분할/NPU) · 범용 풀(CPU)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을 나눠, 큰 GPU가 전처리·소규모 추론에 묶이지 않게 함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감시는 사람이 점검하지 않고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플랫폼이 자동 계측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하며, 같은 계측값을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결과보고·과금·용량 산정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 함께 씀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실증이 끝난 서비스는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전환 유예 → 유료 전환 또는 외부 이관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경로로 정리해 자원이 묶이는 문제를 막음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이용기업 선정 기준(안)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70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비중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내용 (소명·증빙)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사업화 가능성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수요처(고객·도입 기관) 존재, 매출·현장 도입 연결 계획, 수요–공급기업 매칭 여부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활용 목적 명확성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해결할 문제, 사용할 모델·데이터, 기대 산출물을 1쪽 소명서로 제출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데이터 준비도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보유·반입 가능 데이터의 양과 권한, 비공개·민간 데이터 결합 여부(과제 6·7 연계)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해양·항만 연관성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해양·항만·수산 업무 적용 여부, 부산 기업·현장과의 연계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요청 자원 적정성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요청량이 작업 규모에 맞는지(센터가 표준 산정표로 검증)</w:t>
            </w:r>
          </w:p>
        </w:tc>
      </w:tr>
    </w:tbl>
    <w:p>
      <w:pPr>
        <w:spacing w:after="60" w:before="40" w:line="264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가점(안): 결과 환류(성과·가공 데이터 공유) 동의, 대표과제 참여. 소규모 탐색형 이용은 </w:t>
      </w: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상시 간이심사</w:t>
      </w:r>
      <w:r>
        <w:rPr>
          <w:rFonts w:ascii="맑은 고딕" w:cs="맑은 고딕" w:eastAsia="맑은 고딕" w:hAnsi="맑은 고딕"/>
          <w:sz w:val="17"/>
          <w:szCs w:val="17"/>
        </w:rPr>
        <w:t xml:space="preserve">로 운영해 "지원사업 탈락 시 대안이 없는" 문제를 보완함.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기업 유형별 배분 방식(안)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1300"/>
        <w:gridCol w:w="270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대상 기업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 배분 자원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 기간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지원 방식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 탐색형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데이터는 있으나 AI 경험이 적은 기업, DX 초기 기업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CPU + GPU 분할(MIG) 소량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1~3개월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표준 모델·도구 사전 탑재, 컨설팅 동반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B 개발형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스타트업·중소기업의 모델 적용·경량 추가학습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GPU 1~8장 예약(학습 풀)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3~6개월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예약제·배치 작업, 기술지원 창구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 실증형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대표과제, 수요–공급 매칭 과제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전용 노드 + 추론 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6~12개월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전담 매니저, PoC 설계·평가 지원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 서비스 검증형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추론 응답시간(SLO) 검증이 필요한 기업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추론 풀(GPU 분할·NPU)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~3개월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부하 시험 후 전환 경로 안내</w:t>
            </w:r>
          </w:p>
        </w:tc>
      </w:tr>
    </w:tbl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60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작업 유형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자원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배분 원칙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데이터 전처리·통계·전통 ML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CPU(범용 풀)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GPU 신청 대상에서 제외, 상시 제공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 학습·추가학습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GPU(학습 풀, 배치 스케줄러)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예약·대기열 방식, GPU-hour 한도 부여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추론 실증·서비스 검증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GPU 분할 / NPU(추론 풀)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응답시간 목표 기준으로 인스턴스 배정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4. 이용 기간·연장·회수 및 오남용 통제(안)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규칙(안)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중간 점검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기간의 1/2 시점에 계측 리포트로 진행 확인(별도 보고서 없음)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연장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1회 한정, 성과 증빙(평가 결과·도입 협의 등) 시 승인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유휴 회수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예) 배정 자원 사용률이 7일 연속 10% 미만이면 알림 → 미응답 시 회수 후 대기 기업에 재배정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오남용 탐지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GPU-hour·사용률·프로세스 자동 계측, 허용 컨테이너 이미지 목록, 외부 접속은 허용목록 프록시 경유, 채굴 등 목적 외 패턴 자동 탐지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제재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경고 → 일시 중지 → 이용 종료 및 일정 기간 참여 제한(단계별)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종료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자원 반납, 데이터 반출·삭제 확인(과제 6 절차와 연계)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5. 상용서비스 전환 시 자원 처리(안)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전환 유예 기간</w:t>
      </w:r>
      <w:r>
        <w:rPr>
          <w:rFonts w:ascii="맑은 고딕" w:cs="맑은 고딕" w:eastAsia="맑은 고딕" w:hAnsi="맑은 고딕"/>
          <w:sz w:val="19"/>
          <w:szCs w:val="19"/>
        </w:rPr>
        <w:t xml:space="preserve">(예: 1~2개월) 동안 추론 최소 자원만 유지하고, 학습 자원은 즉시 반납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sz w:val="19"/>
          <w:szCs w:val="19"/>
        </w:rPr>
        <w:t xml:space="preserve">유예 이후 ①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유료 이용 전환</w:t>
      </w:r>
      <w:r>
        <w:rPr>
          <w:rFonts w:ascii="맑은 고딕" w:cs="맑은 고딕" w:eastAsia="맑은 고딕" w:hAnsi="맑은 고딕"/>
          <w:sz w:val="19"/>
          <w:szCs w:val="19"/>
        </w:rPr>
        <w:t xml:space="preserve">(센터 이용료) ②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외부 이관</w:t>
      </w:r>
      <w:r>
        <w:rPr>
          <w:rFonts w:ascii="맑은 고딕" w:cs="맑은 고딕" w:eastAsia="맑은 고딕" w:hAnsi="맑은 고딕"/>
          <w:sz w:val="19"/>
          <w:szCs w:val="19"/>
        </w:rPr>
        <w:t xml:space="preserve">(민간 클라우드, 국가 GPU 지원사업, 명지 조선·해양 AI 인프라의 NPU 추론 자원 등) 중 선택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sz w:val="19"/>
          <w:szCs w:val="19"/>
        </w:rPr>
        <w:t xml:space="preserve">이관이 쉽도록 모델·서비스를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표준 컨테이너 패키지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정리해 제공(과제 8 모델 교체형 구조와 연계)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 추진 일정과 2차 자문 확인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추진 내용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10월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수요조사 문항에 GPU 이용 실태·불편·학습/추론 구분 반영(과제 3), 국내 GPU 지원사업 운영 규정 비교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11월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대표과제 PoC에서 CPU·GPU·NPU 사용량 계측, 유형별 배분표 수치 보정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중간보고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자원 배분 기준안·감시·통제 방안·용량 산정 근거 제출(2.4·2.6 목표모델 반영)</w:t>
            </w:r>
          </w:p>
        </w:tc>
      </w:tr>
    </w:tbl>
    <w:p>
      <w:pPr>
        <w:spacing w:after="60" w:before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확인 요청</w:t>
      </w:r>
      <w:r>
        <w:rPr>
          <w:rFonts w:ascii="맑은 고딕" w:cs="맑은 고딕" w:eastAsia="맑은 고딕" w:hAnsi="맑은 고딕"/>
          <w:sz w:val="18"/>
          <w:szCs w:val="18"/>
        </w:rPr>
        <w:t xml:space="preserve">: (1) 선정 기준 항목·비중의 적정성  (2) 유휴 회수 기준의 수준  (3) 실증 종료 후 유료 전환 원칙에 대한 의견</w:t>
      </w:r>
    </w:p>
    <w:p>
      <w:r>
        <w:br w:type="page"/>
      </w:r>
    </w:p>
    <w:p>
      <w:pPr>
        <w:shd w:fill="1F3864" w:color="auto" w:val="clear"/>
        <w:spacing w:after="100" w:before="0"/>
        <w:ind w:left="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과제 8. 파운데이션 모델 활용 구조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업무에 맞는 기존 모델을 선택·적용·교체해, 새로 개발하지 않고도 빠르게 AI 활용 가능성을 검증하는 구조를 설계함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자문위원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심성현 교수(창원대) — "업무별 모델에서 출발"  /  김민호 교수(한국해양대) — 독자 AI 모델 동향, DX 단계 모델  (반영: 전형모 단장)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업무별 모델 활용 지도(업무 → 모델 → 서비스)  ② 모델 교체형 구조안  ③ 대표과제별 후보 모델 비교표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자문의견과 대응 요지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60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자문의견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 요지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심성현 교수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데이터 수집→모델 개발 순서가 아니라, 업무에 어떤 모델이 필요하고 기업이 어떻게 쓸지에서 출발. 모든 부처가 파운데이션 모델을 만들고 있음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해양·항만 8대 업무영역 기준 "업무 → 모델 → 서비스" 지도를 먼저 작성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전형모 단장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파운데이션 모델을 레고처럼 갈아 끼우는 구조. 센터는 R&amp;D 센터가 아님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표준 인터페이스 기반 모델 교체형 구조, 신규 모델 개발은 범위에서 제외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김민호 교수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독자 AI 파운데이션 모델 12월 선정 후 산업별 경량화. 작년 10월 기관별 수요조사 자료 확보. DX가 안 된 기업은 영상·음성·LLM·VLM이 먼저 필요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국가 모델을 우선 후보로 편입, DX 초기 기업용 "기초 모델 세트" 구성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이재웅 이사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파운데이션 모델 확보가 핵심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모델 확보 경로·이용 조건(라이선스) 검토를 산출물에 포함</w:t>
            </w:r>
          </w:p>
        </w:tc>
      </w:tr>
    </w:tbl>
    <w:p>
      <w:pPr>
        <w:spacing w:after="8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7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19"/>
                <w:szCs w:val="19"/>
              </w:rPr>
              <w:t xml:space="preserve">대응 방향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업무에서 출발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모델 목록이 아니라 해양·항만 업무와 해결 문제에서 필요한 모델을 거꾸로 찾음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개발하지 않고 확보·조합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국가 독자 모델, 공개(오픈) 모델, 상용 모델을 카탈로그로 관리하고 필요한 만큼만 추가학습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갈아 끼우는 구조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모델이 바뀌어도 기업 서비스가 바뀌지 않도록 서빙 인터페이스·평가 기준을 표준화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기업 수준별 제공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DX 초기 기업은 기초 모델 세트부터, AI 역량 기업은 도메인 특화·추가학습까지 지원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업무–모델–서비스 활용 지도(예시)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000"/>
        <w:gridCol w:w="340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업무영역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업무·데이터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필요 모델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실증 서비스 예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항만·물류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야드·선석 CCTV, 장비 운영 로그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비전(객체 탐지·추적), VLM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야드 안전 감시, 장비 이상 동작 탐지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해운·선박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운항·기관 센서, 정비 기록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시계열 모델, LLM+RAG(정비 매뉴얼)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고장 예측, 정비 의사결정 지원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수산·양식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수중 영상, 수온·DO 센서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비전(개체·질병), 시계열 예측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생육·질병 탐지, 급이 최적화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수산유통·식품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품질 영상, 거래·출하 기록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비전 분류, 수요 예측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품질·등급 판별, 출하량 예측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물류 행정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선적·통관 서류, 규정 문서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문서 인식(OCR/VLM), LLM 에이전트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서류 자동 추출·검증, 민원 응대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해양안전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VHF 교신 음성, 사고 기록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음성 인식(STT), LLM 요약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교신 기록화, 상황 요약·보고</w:t>
            </w:r>
          </w:p>
        </w:tc>
      </w:tr>
    </w:tbl>
    <w:p>
      <w:pPr>
        <w:spacing w:after="60" w:before="40" w:line="264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착수보고의 8대 업무영역 × AX 가치사슬을 기준으로 확장하고, 대표과제 확정 후 해당 행을 상세화함.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모델 확보 계층과 교체형 구조(안)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420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계층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 출처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센터 역할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L1 범용 기반 모델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국가 독자 AI 파운데이션 모델, 공개 모델(LLM·VLM·비전·음성), 상용 모델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이용 조건 확인 후 카탈로그 등록, 공통 평가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L2 해양 도메인 모델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산업별 경량화 모델, 기관·기업이 공개한 해양 특화 모델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해양 평가 세트로 성능 비교, 우선 추천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L3 기업 과제 적용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데이터로 추가학습한 어댑터(LoRA 등), RAG 지식베이스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소유로 관리, 실증 종료 시 반출·삭제(과제 6)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교체 원칙</w:t>
      </w:r>
      <w:r>
        <w:rPr>
          <w:rFonts w:ascii="맑은 고딕" w:cs="맑은 고딕" w:eastAsia="맑은 고딕" w:hAnsi="맑은 고딕"/>
          <w:sz w:val="19"/>
          <w:szCs w:val="19"/>
        </w:rPr>
        <w:t xml:space="preserve">: ① 모델 레지스트리(버전·라이선스·자원 요구량 기록) ② 공통 서빙 API(모델 종류별 표준 인터페이스) ③ 기반 모델과 기업 어댑터 분리 ④ 과제별 평가 세트로 교체 전후 비교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적용 절차</w:t>
      </w:r>
      <w:r>
        <w:rPr>
          <w:rFonts w:ascii="맑은 고딕" w:cs="맑은 고딕" w:eastAsia="맑은 고딕" w:hAnsi="맑은 고딕"/>
          <w:sz w:val="19"/>
          <w:szCs w:val="19"/>
        </w:rPr>
        <w:t xml:space="preserve">: 선택(카탈로그 추천) → 적용(프롬프트·RAG) → 필요 시 경량 추가학습 → 평가 → 배포·교체. 대부분의 과제는 추가학습 없이 앞 두 단계에서 검증하는 것을 목표로 함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DX 초기 기업용 기초 모델 세트</w:t>
      </w:r>
      <w:r>
        <w:rPr>
          <w:rFonts w:ascii="맑은 고딕" w:cs="맑은 고딕" w:eastAsia="맑은 고딕" w:hAnsi="맑은 고딕"/>
          <w:sz w:val="19"/>
          <w:szCs w:val="19"/>
        </w:rPr>
        <w:t xml:space="preserve">: 문서 인식(OCR/VLM), 영상 인식, 음성 인식, 한국어 LLM을 사전 탑재해 디지털화 단계부터 바로 쓰게 함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4. 후보 모델 비교 기준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06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</w:t>
            </w:r>
          </w:p>
        </w:tc>
        <w:tc>
          <w:tcPr>
            <w:tcW w:type="dxa" w:w="8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내용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성능</w:t>
            </w:r>
          </w:p>
        </w:tc>
        <w:tc>
          <w:tcPr>
            <w:tcW w:type="dxa" w:w="8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대표과제 평가 세트 기준 정확도·응답 품질, 한국어·해양 용어 처리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비용</w:t>
            </w:r>
          </w:p>
        </w:tc>
        <w:tc>
          <w:tcPr>
            <w:tcW w:type="dxa" w:w="8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라이선스·API 비용, 추가학습 비용(GPU-hour)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이용 조건</w:t>
            </w:r>
          </w:p>
        </w:tc>
        <w:tc>
          <w:tcPr>
            <w:tcW w:type="dxa" w:w="8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상업적 이용 허용, 파생 모델 권리, 데이터 외부 전송 여부(보안 정책)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자원 요구량</w:t>
            </w:r>
          </w:p>
        </w:tc>
        <w:tc>
          <w:tcPr>
            <w:tcW w:type="dxa" w:w="8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학습·추론 GPU 메모리, 목표 응답시간 대비 필요 인스턴스 → 과제 5 용량 산정 입력값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5. 추진 일정과 2차 자문 확인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추진 내용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10월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업무–모델–서비스 지도 초안, 국내외 모델 현황 조사, 작년 10월 기관별 수요조사 자료 확보(김민호 교수 협조 요청)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11월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대표과제별 후보 모델 2~3개 비교 PoC, 교체 시나리오 시험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12월~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독자 AI 파운데이션 모델 선정 결과를 카탈로그·로드맵에 반영(최종보고)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중간보고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활용 지도·교체형 구조안·후보 모델 비교표 제출(2.3 AI 플랫폼 목표모델 반영)</w:t>
            </w:r>
          </w:p>
        </w:tc>
      </w:tr>
    </w:tbl>
    <w:p>
      <w:pPr>
        <w:spacing w:after="60" w:before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확인 요청</w:t>
      </w:r>
      <w:r>
        <w:rPr>
          <w:rFonts w:ascii="맑은 고딕" w:cs="맑은 고딕" w:eastAsia="맑은 고딕" w:hAnsi="맑은 고딕"/>
          <w:sz w:val="18"/>
          <w:szCs w:val="18"/>
        </w:rPr>
        <w:t xml:space="preserve">: (1) 업무 지도의 우선 업무영역  (2) 국가 모델 우선 편입 원칙  (3) 신규 모델 개발 제외(적용·추가학습까지) 범위 설정</w:t>
      </w:r>
    </w:p>
    <w:p>
      <w:r>
        <w:br w:type="page"/>
      </w:r>
    </w:p>
    <w:p>
      <w:pPr>
        <w:shd w:fill="1F3864" w:color="auto" w:val="clear"/>
        <w:spacing w:after="100" w:before="0"/>
        <w:ind w:left="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과제 9. AI 개발·실증 도구 구성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기업이 모델과 서비스를 개발·시험·평가할 수 있도록 수요에 맞는 도구와 검증 환경을 구성함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자문위원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전성기 실장(한국임업진흥원) — 에이전트 도구, Human-in-the-loop, 피지컬 AI  /  김민호 교수(한국해양대) — 추론용 자원(NPU), 기업 유형별 필요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도구 구성안(공통 필수 / 분야별 선택)  ② Human-in-the-loop 운영 역할  ③ 단계별 도입 우선순위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자문의견과 대응 요지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60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자문의견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 요지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전성기 실장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MLOps 외에 에이전트 도구(MCP, 에이전트 스튜디오, 로그·하네스 엔지니어링) 제공으로 참여 기업 확대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MLOps와 에이전트 개발·평가 도구를 한 플랫폼에서 제공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전성기 실장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사람이 결과를 검토해 되먹이는 구조(Human-in-the-loop)와 이를 맡을 조직 역할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검토 도구 + 센터 운영 역할(평가·환류 담당) 함께 설계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전성기 실장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피지컬 AI 수요에 맞춰 Omniverse, Isaac Sim 등 시뮬레이션 환경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수요조사로 필요성 확인 후 단계 도입, 인근 인프라 연계 우선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김민호 교수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추론 서비스 실증은 NPU까지 고려, 기업 유형별 필요 상이</w:t>
            </w:r>
          </w:p>
        </w:tc>
        <w:tc>
          <w:tcPr>
            <w:tcW w:type="dxa" w:w="4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NPU 추론 툴체인 포함, 기업 유형(과제 5)별 도구 묶음 제공</w:t>
            </w:r>
          </w:p>
        </w:tc>
      </w:tr>
    </w:tbl>
    <w:p>
      <w:pPr>
        <w:spacing w:after="8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7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19"/>
                <w:szCs w:val="19"/>
              </w:rPr>
              <w:t xml:space="preserve">대응 방향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도구는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수요조사·대표과제에서 필요한 기능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 기준으로 고르고, 많이 갖추기보다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실제로 쓰일 도구부터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도입함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 필수 도구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(모든 기업)와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분야별 선택 도구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(특정 과제)를 나누고, 운영 인력이 감당할 수 있는 범위로 한정함</w:t>
            </w:r>
          </w:p>
          <w:p>
            <w:pPr>
              <w:spacing w:after="20" w:line="250"/>
              <w:ind w:left="200" w:hanging="200"/>
            </w:pPr>
            <w:r>
              <w:rPr>
                <w:rFonts w:ascii="맑은 고딕" w:cs="맑은 고딕" w:eastAsia="맑은 고딕" w:hAnsi="맑은 고딕"/>
                <w:color w:val="7F6000"/>
                <w:sz w:val="18"/>
                <w:szCs w:val="18"/>
              </w:rPr>
              <w:t xml:space="preserve">▸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에이전트 시대에 맞춰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 → 실행 로그 → 평가(하네스) → 사람 검토 → 재학습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이어지는 흐름을 도구로 구현함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도구 구성(안)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1600"/>
        <w:gridCol w:w="2406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구성 도구(예시)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개발 환경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노트북·IDE, 컨테이너 이미지 템플릿, 데이터 전처리 파이프라인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필수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과제 6 데이터 처리와 연계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MLOps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실험 관리, 모델 레지스트리, 서빙, 사용량 계측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필수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과제 5 계측·과제 8 교체 구조의 기반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LLM·에이전트 개발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에이전트 스튜디오(노코드·로우코드 워크플로), MCP 도구 연결, RAG 구성, 프롬프트 관리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필수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비개발 기업의 참여 확대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평가·관측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로그·추적, 하네스 기반 자동 평가, 안전성·환각 점검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필수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실증 결과의 객관적 근거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사람 검토(HITL)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결과 검토·수정 화면, 피드백 수집, 재학습 데이터 연계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필수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아래 3항 운영 역할과 함께 설계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추론 최적화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경량화(양자화), NPU 컴파일·런타임 툴체인, 부하 시험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분야별 선택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서비스 검증형(D) 기업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시뮬레이션·디지털트윈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Omniverse, Isaac Sim, 합성 데이터 생성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분야별 선택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피지컬 AI(항만 장비·로봇) 수요 확인 시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Human-in-the-loop 운영 역할(안)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역할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하는 일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담당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현장 검토자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 결과를 업무 기준으로 확인·수정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참여 기업·수요기관의 업무 담당자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실증 평가 담당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평가 기준·검토 절차 설계, 검토 결과 집계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센터 AI 실증 지원 인력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데이터·모델 환류 담당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검토 결과를 학습 데이터로 정리, 재학습·재평가 수행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센터 기술지원 + 참여 기업</w:t>
            </w:r>
          </w:p>
        </w:tc>
      </w:tr>
    </w:tbl>
    <w:p>
      <w:pPr>
        <w:spacing w:after="60" w:before="40" w:line="264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필요 인력은 과제 10(운영 주체·운영비) 인력 산정에 반영함.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4. 피지컬 AI 시뮬레이션 검토 방향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해수부 「피지컬 AI 항만 전략」(자율하역·무인이송)과 부산항 자율하역 실증 예산 반영으로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항만 장비 분야 수요가 예상</w:t>
      </w:r>
      <w:r>
        <w:rPr>
          <w:rFonts w:ascii="맑은 고딕" w:cs="맑은 고딕" w:eastAsia="맑은 고딕" w:hAnsi="맑은 고딕"/>
          <w:sz w:val="19"/>
          <w:szCs w:val="19"/>
        </w:rPr>
        <w:t xml:space="preserve">되나, 부산 기업의 실제 수요는 수요조사 문항으로 확인함(과제 3 연계)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sz w:val="19"/>
          <w:szCs w:val="19"/>
        </w:rPr>
        <w:t xml:space="preserve">시뮬레이션은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렌더링 기능이 있는 GPU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 필요해 학습용 GPU와 구성이 다르므로, 도입 시 과제 5 자원 구성에 별도 반영함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맑은 고딕" w:cs="맑은 고딕" w:eastAsia="맑은 고딕" w:hAnsi="맑은 고딕"/>
          <w:sz w:val="19"/>
          <w:szCs w:val="19"/>
        </w:rPr>
        <w:t xml:space="preserve">명지 조선·해양 AI 인프라(디지털트윈 예지보전) 등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인근 인프라와 중복 여부를 먼저 확인</w:t>
      </w:r>
      <w:r>
        <w:rPr>
          <w:rFonts w:ascii="맑은 고딕" w:cs="맑은 고딕" w:eastAsia="맑은 고딕" w:hAnsi="맑은 고딕"/>
          <w:sz w:val="19"/>
          <w:szCs w:val="19"/>
        </w:rPr>
        <w:t xml:space="preserve">하고, 연계 가능하면 연계를 우선함</w:t>
      </w:r>
    </w:p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5. 도입 우선순위 평가 기준과 단계(안)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6"/>
      </w:tblGrid>
      <w:tr>
        <w:trPr>
          <w:tblHeader w:val="off"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기준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수요(대표과제·수요조사 요구 빈도) · 비용(라이선스·자원) · 운영 난이도(필요 인력·전문성) · 차별성(일반 클라우드 대비)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1단계(개소)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개발 환경, MLOps, LLM·에이전트 개발, 평가·관측, HITL — 모든 기업이 쓰는 공통 도구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2단계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추론 최적화·NPU 툴체인 — 서비스 검증 수요가 확인되는 시점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3단계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시뮬레이션·디지털트윈 — 피지컬 AI 수요와 대표과제 확인 후, 연계 또는 자체 도입 결정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 추진 일정과 2차 자문 확인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추진 내용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10월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수요조사에 도구 수요(에이전트·시뮬레이션·NPU) 문항 반영, 국내 AI 지원 플랫폼 도구 구성 비교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11월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대표과제 PoC에서 공통 도구 적용·검증, HITL 절차 시범 적용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중간보고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도구 구성안·운영 역할·단계별 우선순위 제출(2.3 목표모델, Ⅳ-1 로드맵·Ⅳ-4 RFP 요건 반영)</w:t>
            </w:r>
          </w:p>
        </w:tc>
      </w:tr>
    </w:tbl>
    <w:p>
      <w:pPr>
        <w:spacing w:after="60" w:before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확인 요청</w:t>
      </w:r>
      <w:r>
        <w:rPr>
          <w:rFonts w:ascii="맑은 고딕" w:cs="맑은 고딕" w:eastAsia="맑은 고딕" w:hAnsi="맑은 고딕"/>
          <w:sz w:val="18"/>
          <w:szCs w:val="18"/>
        </w:rPr>
        <w:t xml:space="preserve">: (1) 공통 필수 도구 범위(에이전트·HITL 포함)  (2) 시뮬레이션 도구의 연계 우선 원칙  (3) HITL 운영 역할 분담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  <w:lvl w:ilvl="1" w:tentative="1">
      <w:start w:val="1"/>
      <w:numFmt w:val="bullet"/>
      <w:lvlText w:val="-"/>
      <w:lvlJc w:val="left"/>
      <w:pPr>
        <w:ind w:left="6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2026-09-29T07:55:44.444Z</dcterms:created>
  <dcterms:modified xsi:type="dcterms:W3CDTF">2026-09-29T07:55:44.444Z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