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微软雅黑"/>
          <w:b/>
          <w:i w:val="0"/>
          <w:color w:val="1F497D"/>
          <w:sz w:val="56"/>
        </w:rPr>
        <w:t>CT-OS V4.0</w:t>
      </w:r>
    </w:p>
    <w:p>
      <w:pPr>
        <w:jc w:val="center"/>
      </w:pPr>
      <w:r>
        <w:rPr>
          <w:rFonts w:ascii="Arial" w:hAnsi="Arial" w:eastAsia="微软雅黑"/>
          <w:b/>
          <w:i w:val="0"/>
          <w:color w:val="2E74B5"/>
          <w:sz w:val="40"/>
        </w:rPr>
        <w:t>级别雷达 · 产品需求文档</w:t>
      </w:r>
    </w:p>
    <w:p/>
    <w:p>
      <w:pPr>
        <w:jc w:val="center"/>
      </w:pPr>
      <w:r>
        <w:rPr>
          <w:rFonts w:ascii="Arial" w:hAnsi="Arial" w:eastAsia="微软雅黑"/>
          <w:b w:val="0"/>
          <w:i/>
          <w:color w:val="707070"/>
          <w:sz w:val="22"/>
        </w:rPr>
        <w:t>版本 1.0    |    2026-04-24    |    交易教练产品团队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1. 产品概述</w:t>
      </w:r>
    </w:p>
    <w:p>
      <w:pPr>
        <w:spacing w:after="40"/>
        <w:pBdr>
          <w:bottom w:val="single" w:sz="6" w:space="1" w:color="BFBFBF"/>
        </w:pBdr>
      </w:pP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级别雷达（Radar）是 CT-OS V4.0 的核心引擎，负责在正确的时间、正确的级别上识别操作机会，并以结构化叙述的方式推送给用户。</w:t>
      </w:r>
    </w:p>
    <w:p/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核心目标：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不让用户追涨杀跌——在大级别结构回调到位后，等待小级别突破确认，提供精确的入场时机、止损锚和仓位建议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减少噪音——通过多级别确认链过滤掉结构上不安全的信号，只推送具有战略意义的位置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适配 A 股特性——识别主力洗盘行为（假突破），在确认信号时同步提升置信度而非降级</w:t>
      </w:r>
    </w:p>
    <w:p/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设计哲学一句话：</w:t>
      </w:r>
    </w:p>
    <w:p>
      <w:pPr>
        <w:spacing w:after="160"/>
        <w:ind w:left="432"/>
        <w:shd w:val="clear" w:color="auto" w:fill="EBF3FB"/>
      </w:pPr>
      <w:r>
        <w:rPr>
          <w:rFonts w:ascii="Arial" w:hAnsi="Arial" w:eastAsia="微软雅黑"/>
          <w:b/>
          <w:i/>
          <w:color w:val="1F497D"/>
          <w:sz w:val="24"/>
        </w:rPr>
        <w:t>大级别做回调，小级别做突破——135mm 构图，35mm 按快门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2. 设计背景：为什么是反直觉的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2.1 常见误区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大多数用户（和工具）的直觉是：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大级别突破 → 方向确定 → 在小级别回调处入场</w:t>
      </w:r>
    </w:p>
    <w:p>
      <w:pPr>
        <w:spacing w:after="80"/>
      </w:pPr>
      <w:r>
        <w:rPr>
          <w:rFonts w:ascii="Arial" w:hAnsi="Arial" w:eastAsia="微软雅黑"/>
          <w:b w:val="0"/>
          <w:i/>
          <w:color w:val="707070"/>
          <w:sz w:val="20"/>
        </w:rPr>
        <w:t>实际执行结果：小级别回调入场后频繁被止损，因为在方向确定后才入场，失去了缠论意义上「安全且具有战略意义的位置」。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2.2 正确逻辑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缠论核心原则「买点买，卖点卖」要求：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买点（2买/3买）本质上是回调的低点，不是突破后的追涨点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当大级别（30分/日线）处于回调过程中时，小级别（5分）也在回调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小级别买点形成并突破，才是大级别买点真正成立的标志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2.3 摄影类比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摄影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交易</w:t>
            </w:r>
          </w:p>
        </w:tc>
      </w:tr>
      <w:tr>
        <w:tc>
          <w:tcPr>
            <w:tcW w:type="dxa" w:w="1728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大级别判断</w:t>
            </w:r>
          </w:p>
        </w:tc>
        <w:tc>
          <w:tcPr>
            <w:tcW w:type="dxa" w:w="403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135mm 构图（全身像，等待合适的背景和距离）</w:t>
            </w:r>
          </w:p>
        </w:tc>
        <w:tc>
          <w:tcPr>
            <w:tcW w:type="dxa" w:w="403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等大级别回调到买点区域（构图）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小级别触发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35mm 按快门（特写，精确抓住决定性瞬间）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等小级别突破确认（按快门）</w:t>
            </w:r>
          </w:p>
        </w:tc>
      </w:tr>
      <w:tr>
        <w:tc>
          <w:tcPr>
            <w:tcW w:type="dxa" w:w="1728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常见误区</w:t>
            </w:r>
          </w:p>
        </w:tc>
        <w:tc>
          <w:tcPr>
            <w:tcW w:type="dxa" w:w="403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135mm 拍特写 / 35mm 拍全身均难出彩</w:t>
            </w:r>
          </w:p>
        </w:tc>
        <w:tc>
          <w:tcPr>
            <w:tcW w:type="dxa" w:w="403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大级别追突破 / 小级别等回调均难执行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97D"/>
        </w:rPr>
        <w:t>3. 功能架构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3.1 整体架构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级别雷达由三个子系统组成，串联运行：</w:t>
      </w:r>
    </w:p>
    <w:p>
      <w:pPr>
        <w:spacing w:after="120"/>
        <w:ind w:left="432"/>
        <w:shd w:val="clear" w:color="auto" w:fill="F0F4F8"/>
      </w:pPr>
      <w:r>
        <w:rPr>
          <w:rFonts w:ascii="Courier New" w:hAnsi="Courier New" w:eastAsia="宋体"/>
          <w:color w:val="1A1A2E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级别雷达 Radar                          │</w:t>
        <w:br/>
        <w:t>│                                                         │</w:t>
        <w:br/>
        <w:t>│  ┌──────────────┐   ┌──────────────┐   ┌────────────┐  │</w:t>
        <w:br/>
        <w:t>│  │  多级别分析   │──▶│  确认链引擎  │──▶│  推演输出  │  │</w:t>
        <w:br/>
        <w:t>│  │  (三级矩阵)   │   │  (串联门控)  │   │  (甲乙丙)  │  │</w:t>
        <w:br/>
        <w:t>│  └──────────────┘   └──────────────┘   └────────────┘  │</w:t>
        <w:br/>
        <w:t>│         │                  │                  │         │</w:t>
        <w:br/>
        <w:t>│   日线/30分/5分         区间套门控           选股队列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3.2 体系 A / 体系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4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体系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级别组合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时间维度</w:t>
            </w:r>
          </w:p>
        </w:tc>
      </w:tr>
      <w:tr>
        <w:tc>
          <w:tcPr>
            <w:tcW w:type="dxa" w:w="14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体系 A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日线 + 30分 + 5分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短线操作（日内到 3 日）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主力关注时间窗口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体系 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日线 + 60分 + 15分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波段操作（1–2 周）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次级别节奏更缓和</w:t>
            </w:r>
          </w:p>
        </w:tc>
      </w:tr>
    </w:tbl>
    <w:p/>
    <w:p>
      <w:pPr>
        <w:spacing w:after="120"/>
        <w:ind w:left="432"/>
        <w:shd w:val="clear" w:color="auto" w:fill="FFF8E7"/>
      </w:pPr>
      <w:r>
        <w:rPr>
          <w:sz w:val="20"/>
        </w:rPr>
        <w:t xml:space="preserve">⚠️  </w:t>
      </w:r>
      <w:r>
        <w:rPr>
          <w:rFonts w:ascii="Arial" w:hAnsi="Arial" w:eastAsia="微软雅黑"/>
          <w:i/>
          <w:color w:val="8B6000"/>
          <w:sz w:val="20"/>
        </w:rPr>
        <w:t>两个体系同时运行，信号共享同一套确认链逻辑，仅级别配比不同。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3.3 核心数据流</w:t>
      </w:r>
    </w:p>
    <w:p>
      <w:pPr>
        <w:spacing w:after="120"/>
        <w:ind w:left="432"/>
        <w:shd w:val="clear" w:color="auto" w:fill="F0F4F8"/>
      </w:pPr>
      <w:r>
        <w:rPr>
          <w:rFonts w:ascii="Courier New" w:hAnsi="Courier New" w:eastAsia="宋体"/>
          <w:color w:val="1A1A2E"/>
          <w:sz w:val="18"/>
        </w:rPr>
        <w:t>chan_detail_service → _analyze_single_level (×3)</w:t>
        <w:br/>
        <w:t xml:space="preserve">    ↓</w:t>
        <w:br/>
        <w:t>_check_interval_nesting   → confidence_gate (HIGH / MEDIUM / LOW)</w:t>
        <w:br/>
        <w:t xml:space="preserve">    ↓</w:t>
        <w:br/>
        <w:t>_detect_lifecycle_node    → 节点识别（含 _detect_coiling_near_pivot）</w:t>
        <w:br/>
        <w:t xml:space="preserve">    ↓</w:t>
        <w:br/>
        <w:t>_build_empty_position_classes / _build_holding_classes</w:t>
        <w:br/>
        <w:t xml:space="preserve">    ↓</w:t>
        <w:br/>
        <w:t>_build_forward_analysis   → 完整推演 JSON → 前端/推送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4. 多级别确认链（串联门控）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4.1 设计原则</w:t>
      </w:r>
    </w:p>
    <w:p>
      <w:pPr>
        <w:spacing w:after="80"/>
      </w:pPr>
      <w:r>
        <w:rPr>
          <w:rFonts w:ascii="Arial" w:hAnsi="Arial" w:eastAsia="微软雅黑"/>
          <w:b/>
          <w:i w:val="0"/>
          <w:sz w:val="22"/>
        </w:rPr>
        <w:t>确认链是串联的，不是并联的。上一步没有通过，下一步不计算，不输出操作信号。</w:t>
      </w:r>
    </w:p>
    <w:p/>
    <w:p>
      <w:pPr>
        <w:spacing w:after="120"/>
        <w:ind w:left="432"/>
        <w:shd w:val="clear" w:color="auto" w:fill="F0F4F8"/>
      </w:pPr>
      <w:r>
        <w:rPr>
          <w:rFonts w:ascii="Courier New" w:hAnsi="Courier New" w:eastAsia="宋体"/>
          <w:color w:val="1A1A2E"/>
          <w:sz w:val="18"/>
        </w:rPr>
        <w:t>Step 1: 大级别（日线/30分）处于回调区间，接近 2B/3B 买点区域</w:t>
        <w:br/>
        <w:t xml:space="preserve">         ↓ （未通过 → 状态=观察中，不进入后续步骤）</w:t>
        <w:br/>
        <w:t>Step 2: 区间套检测 depth ≥ 2（至少两级背驰结构形成）</w:t>
        <w:br/>
        <w:t xml:space="preserve">         ↓ （depth=1 → 降级为纯观察，不给操作建议）</w:t>
        <w:br/>
        <w:t>Step 3: 小级别（5分）出现底背驰 / 1买 / 2买结构</w:t>
        <w:br/>
        <w:t xml:space="preserve">         ↓</w:t>
        <w:br/>
        <w:t>Step 4a: 小级别在大级别 ZG 附近窄幅盘整 → 进入「备战」态</w:t>
        <w:br/>
        <w:t xml:space="preserve">         ↓</w:t>
        <w:br/>
        <w:t>Step 4b: 小级别盘整上沿突破确认 → 入场信号生成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4.2 区间套置信度门控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confidence_gate</w:t>
            </w:r>
          </w:p>
        </w:tc>
        <w:tc>
          <w:tcPr>
            <w:tcW w:type="dxa" w:w="475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对操作信号的影响</w:t>
            </w:r>
          </w:p>
        </w:tc>
      </w:tr>
      <w:tr>
        <w:tc>
          <w:tcPr>
            <w:tcW w:type="dxa" w:w="1008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三级区间套确认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HIGH</w:t>
            </w:r>
          </w:p>
        </w:tc>
        <w:tc>
          <w:tcPr>
            <w:tcW w:type="dxa" w:w="475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全量操作信号，仓位上限不压制，加「胜率显著提升」前缀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两级区间套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MEDIUM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半仓门控，position_size 上限压到 30-50%，加「半仓跟进」前缀</w:t>
            </w:r>
          </w:p>
        </w:tc>
      </w:tr>
      <w:tr>
        <w:tc>
          <w:tcPr>
            <w:tcW w:type="dxa" w:w="1008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单级别背驰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LOW</w:t>
            </w:r>
          </w:p>
        </w:tc>
        <w:tc>
          <w:tcPr>
            <w:tcW w:type="dxa" w:w="475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降级为观察，甲情形 action 变为「观察为主，不入场」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无区间套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保持原始建议，按节点状态机输出</w:t>
            </w:r>
          </w:p>
        </w:tc>
      </w:tr>
    </w:tbl>
    <w:p/>
    <w:p>
      <w:pPr>
        <w:spacing w:after="120"/>
        <w:ind w:left="432"/>
        <w:shd w:val="clear" w:color="auto" w:fill="FFF8E7"/>
      </w:pPr>
      <w:r>
        <w:rPr>
          <w:sz w:val="20"/>
        </w:rPr>
        <w:t xml:space="preserve">⚠️  </w:t>
      </w:r>
      <w:r>
        <w:rPr>
          <w:rFonts w:ascii="Arial" w:hAnsi="Arial" w:eastAsia="微软雅黑"/>
          <w:i/>
          <w:color w:val="8B6000"/>
          <w:sz w:val="20"/>
        </w:rPr>
        <w:t>区间套是增益机制，不是入场的必要条件。没有区间套时，节点状态机独立判断是否入场。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5. 买卖点生命周期状态机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5.1 状态列表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止损锚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仓位建议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入场触发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三买上沿_盘整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价格在大级别 ZG 上方，5分自由笔振幅&lt;2%，贴近 ZG±1.2%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盘整低点（比 ZG 更精确）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30-50%（洗盘后50-70%）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盘整上沿突破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三买_确认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价格在操作中枢上方，无明显盘整形态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操作中枢 ZG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观望→回踩后30-50%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5分突破确认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类二买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中枢上方已出现回踩，回踩低点守住 ZG 上方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回踩低点（5分ZD优先）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30-50%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5分突破确认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二买_形成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底部抬高，前底跌破 ZD，此次不创新低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前低（一买低点）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30-50%（区间套则50-70%）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5分突破确认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一买_机会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底背驰确认，价格≤ZD×1.03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背驰确认笔最低价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10-20%（轻仓试探）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见信号即可轻仓，等二买加仓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中枢震荡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价格在 ZD~ZG 内部，方向未选择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ZD（偏空）/ ZG（偏多）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观望为主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等方向选择后再判断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主跌延续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价格在 ZD 下方，无背驰，state=DOWNWARD_LEAVING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无（空仓）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严格空仓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等底背驰出现</w:t>
            </w:r>
          </w:p>
        </w:tc>
      </w:tr>
    </w:tbl>
    <w:p/>
    <w:p/>
    <w:p>
      <w:pPr>
        <w:pStyle w:val="Heading2"/>
      </w:pPr>
      <w:r>
        <w:rPr>
          <w:rFonts w:ascii="Arial" w:hAnsi="Arial" w:eastAsia="微软雅黑"/>
          <w:color w:val="2E74B5"/>
        </w:rPr>
        <w:t>5.2 状态转移图</w:t>
      </w:r>
    </w:p>
    <w:p>
      <w:pPr>
        <w:spacing w:after="120"/>
        <w:ind w:left="432"/>
        <w:shd w:val="clear" w:color="auto" w:fill="F0F4F8"/>
      </w:pPr>
      <w:r>
        <w:rPr>
          <w:rFonts w:ascii="Courier New" w:hAnsi="Courier New" w:eastAsia="宋体"/>
          <w:color w:val="1A1A2E"/>
          <w:sz w:val="18"/>
        </w:rPr>
        <w:t>观察中（大级别不在回调区）</w:t>
        <w:br/>
        <w:t xml:space="preserve">    │ 大级别进入回调区 + 区间套 depth≥1</w:t>
        <w:br/>
        <w:t xml:space="preserve">    ▼</w:t>
        <w:br/>
        <w:t>等待小级别信号</w:t>
        <w:br/>
        <w:t xml:space="preserve">    │ 5分出现底背驰 / 买点结构</w:t>
        <w:br/>
        <w:t xml:space="preserve">    ▼</w:t>
        <w:br/>
        <w:t>备战_待确认（三买_确认 / 二买_形成 / 类二买）</w:t>
        <w:br/>
        <w:t xml:space="preserve">    │ 5分在大级别 ZG 附近形成窄幅盘整（振幅&lt;2%）</w:t>
        <w:br/>
        <w:t xml:space="preserve">    ▼</w:t>
        <w:br/>
        <w:t>备战_盘整中（三买上沿_盘整）</w:t>
        <w:br/>
        <w:t xml:space="preserve">    │ 出现向下假突破 + 迅速收回（深度&lt;0.5%，≤2根K）</w:t>
        <w:br/>
        <w:t xml:space="preserve">    ▼</w:t>
        <w:br/>
        <w:t>备战_强化（洗盘完成，阻力出清）</w:t>
        <w:br/>
        <w:t xml:space="preserve">    │ 盘整上沿 / 5分 ZG 突破确认</w:t>
        <w:br/>
        <w:t xml:space="preserve">    ▼</w:t>
        <w:br/>
        <w:t>✅ 入场信号（附止损锚 + 目标价 + 仓位建议）</w:t>
        <w:br/>
        <w:br/>
        <w:t xml:space="preserve">    └─ 任意阶段跌破盘整低点 → 信号失效，回到「观察中」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6. 窄幅盘整检测（_detect_coiling_near_pivot）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6.1 触发条件（三项全满足）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504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贴近目标价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distance_pct &lt; 1.2%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当前价偏离大级别 ZG 不超过 1.2%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振幅收窄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range_pct &lt; 2.0%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5分自由笔高低点区间 &lt; 总价格的 2%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盘整成形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free_bis_count ≥ 2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至少两笔自由笔，说明已形成中枢而非刚到位</w:t>
            </w:r>
          </w:p>
        </w:tc>
      </w:tr>
    </w:tbl>
    <w:p/>
    <w:p/>
    <w:p>
      <w:pPr>
        <w:pStyle w:val="Heading2"/>
      </w:pPr>
      <w:r>
        <w:rPr>
          <w:rFonts w:ascii="Arial" w:hAnsi="Arial" w:eastAsia="微软雅黑"/>
          <w:color w:val="2E74B5"/>
        </w:rPr>
        <w:t>6.2 信号强度分级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signal_level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置信度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仓位建议</w:t>
            </w:r>
          </w:p>
        </w:tc>
      </w:tr>
      <w:tr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三条件满足，无假跌破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备战</w:t>
            </w:r>
          </w:p>
        </w:tc>
        <w:tc>
          <w:tcPr>
            <w:tcW w:type="dxa" w:w="14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中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30-50%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三条件满足 + 1~2次假跌破收回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备战_强化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高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50-70%</w:t>
            </w:r>
          </w:p>
        </w:tc>
      </w:tr>
      <w:tr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假跌破≥3次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不触发（降级为正常等待）</w:t>
            </w:r>
          </w:p>
        </w:tc>
        <w:tc>
          <w:tcPr>
            <w:tcW w:type="dxa" w:w="14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观望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振幅&gt;2% 或距离&gt;1.2%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不触发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观望</w:t>
            </w:r>
          </w:p>
        </w:tc>
      </w:tr>
    </w:tbl>
    <w:p/>
    <w:p/>
    <w:p>
      <w:pPr>
        <w:pStyle w:val="Heading2"/>
      </w:pPr>
      <w:r>
        <w:rPr>
          <w:rFonts w:ascii="Arial" w:hAnsi="Arial" w:eastAsia="微软雅黑"/>
          <w:color w:val="2E74B5"/>
        </w:rPr>
        <w:t>6.3 止损锚精细化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盘整检测的副产品是精确止损位。与大级别 ZG 相比，盘整低点通常更近、更精确：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无假跌破：止损 = free_low（自由笔最低点）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有假跌破：止损 = 假跌破最低点（通常比 free_low 还低 0.1~0.3%）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止损更近 → 同等账户风险下可建更大仓位，风险收益比改善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7. A 股假突破处理机制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7.1 背景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缠论的上下沿位置已被 A 股市场广泛认知，主力利用这一点刻意制造向下假突破，打出散户止损单后迅速拉回，然后继续上攻。算法必须识别并利用这一模式，而非被其干扰。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7.2 假突破识别规则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57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跌破深度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&lt; 0.5%</w:t>
            </w:r>
          </w:p>
        </w:tc>
        <w:tc>
          <w:tcPr>
            <w:tcW w:type="dxa" w:w="57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深度超过此值视为真实下跌意图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持续时间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≤ 2 根 5分K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超过 2 根未收回则降级为真实压力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收回确认</w:t>
            </w:r>
          </w:p>
        </w:tc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下一根 close &gt; 盘整低点</w:t>
            </w:r>
          </w:p>
        </w:tc>
        <w:tc>
          <w:tcPr>
            <w:tcW w:type="dxa" w:w="57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必须有明确的收回动作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最大次数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1~2 次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超过 2 次（≥3）整体信号降级，疑似真实结构转弱</w:t>
            </w:r>
          </w:p>
        </w:tc>
      </w:tr>
    </w:tbl>
    <w:p/>
    <w:p/>
    <w:p>
      <w:pPr>
        <w:pStyle w:val="Heading2"/>
      </w:pPr>
      <w:r>
        <w:rPr>
          <w:rFonts w:ascii="Arial" w:hAnsi="Arial" w:eastAsia="微软雅黑"/>
          <w:color w:val="2E74B5"/>
        </w:rPr>
        <w:t>7.3 假突破后的算法行为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检测到假突破：信号升级（备战 → 备战_强化），置信度提高，仓位上限提升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止损更新：假跌破最低点替代原盘整低点作为止损锚（更精确）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输出文字：action 字段加入「⚡ 洗盘完成，信号强化！」前缀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连续≥3次假跌破：整体信号降级，不再视为有效盘整</w:t>
      </w:r>
    </w:p>
    <w:p>
      <w:pPr>
        <w:spacing w:after="120"/>
        <w:ind w:left="432"/>
        <w:shd w:val="clear" w:color="auto" w:fill="FFF8E7"/>
      </w:pPr>
      <w:r>
        <w:rPr>
          <w:sz w:val="20"/>
        </w:rPr>
        <w:t xml:space="preserve">⚠️  </w:t>
      </w:r>
      <w:r>
        <w:rPr>
          <w:rFonts w:ascii="Arial" w:hAnsi="Arial" w:eastAsia="微软雅黑"/>
          <w:i/>
          <w:color w:val="8B6000"/>
          <w:sz w:val="20"/>
        </w:rPr>
        <w:t>假突破检测仅在窄幅盘整状态（三买上沿_盘整）下激活，普通回调过程中不做此判断。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8. 入场触发精度升级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8.1 原来的问题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旧版算法用「出现向上分型」作为入场触发，分型是局部极值，只说明短线低点到位，但无法确认方向——价格可能继续震荡而不突破，导致频繁入场又被小幅回撤止损。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8.2 新的触发逻辑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数据可用性</w:t>
            </w:r>
          </w:p>
        </w:tc>
        <w:tc>
          <w:tcPr>
            <w:tcW w:type="dxa" w:w="504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87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精确度</w:t>
            </w:r>
          </w:p>
        </w:tc>
      </w:tr>
      <w:tr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5分 ZG 数据可用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5分级别突破 {l3_zg} 确认</w:t>
            </w:r>
          </w:p>
        </w:tc>
        <w:tc>
          <w:tcPr>
            <w:tcW w:type="dxa" w:w="187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高——方向已明确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5分 ZG 不可用（降级）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出现向上分型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中——局部低点到位</w:t>
            </w:r>
          </w:p>
        </w:tc>
      </w:tr>
    </w:tbl>
    <w:p/>
    <w:p>
      <w:pPr>
        <w:spacing w:after="80"/>
      </w:pPr>
      <w:r>
        <w:rPr>
          <w:rFonts w:ascii="Arial" w:hAnsi="Arial" w:eastAsia="微软雅黑"/>
          <w:b w:val="0"/>
          <w:i/>
          <w:color w:val="707070"/>
          <w:sz w:val="20"/>
        </w:rPr>
        <w:t>涉及的节点：二买_形成、三买_确认、类二买、三买上沿_盘整均已更新入场触发描述。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9. 持仓路径（甲乙丙丁）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9.1 四情形设计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止损触发级别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操作建议</w:t>
            </w:r>
          </w:p>
        </w:tc>
      </w:tr>
      <w:tr>
        <w:tc>
          <w:tcPr>
            <w:tcW w:type="dxa" w:w="1008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甲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当日延续上行，突破前高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5分 ZG（当日锚）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持仓，缩量回踩可加仓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乙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顶背驰出现（三分类：中继/转折/疑似）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5分 ZG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视分类决定：中继持仓/转折减仓/疑似观察</w:t>
            </w:r>
          </w:p>
        </w:tc>
      </w:tr>
      <w:tr>
        <w:tc>
          <w:tcPr>
            <w:tcW w:type="dxa" w:w="1008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丙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跌破5分 ZG（当日可触发）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5分 ZG（核心止损线）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减仓或清仓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丁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跌破30分 ZG（多日结构红线）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30分 ZG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必须清仓，结构破坏</w:t>
            </w:r>
          </w:p>
        </w:tc>
      </w:tr>
    </w:tbl>
    <w:p/>
    <w:p>
      <w:pPr>
        <w:spacing w:after="120"/>
        <w:ind w:left="432"/>
        <w:shd w:val="clear" w:color="auto" w:fill="FFF8E7"/>
      </w:pPr>
      <w:r>
        <w:rPr>
          <w:sz w:val="20"/>
        </w:rPr>
        <w:t xml:space="preserve">⚠️  </w:t>
      </w:r>
      <w:r>
        <w:rPr>
          <w:rFonts w:ascii="Arial" w:hAnsi="Arial" w:eastAsia="微软雅黑"/>
          <w:i/>
          <w:color w:val="8B6000"/>
          <w:sz w:val="20"/>
        </w:rPr>
        <w:t>丙与丁价位差异&lt;5%时，丙已覆盖多日结构意义，丁情形不单独列出。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9.2 顶背驰分类逻辑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中继确认：顶背驰出现后价格创新高 → 维持持仓，上移止损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转折确认：顶背驰出现后明显回落，未创新高 → 减仓锁利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 w:val="0"/>
          <w:i w:val="0"/>
          <w:sz w:val="21"/>
        </w:rPr>
        <w:t>疑似转折：背驰出现，方向未定 → 不强制减仓，等确认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10. 选股扫描队列设计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10.1 分层队列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扫描器不扫「刚涨起来的热门票」，而是扫「结构已到位、信号正在成熟」的票，按确认链进度分层管理：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504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31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第0层（过滤）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大级别不在回调区 / 方向偏空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不进队列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第1层（观察）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大级别在回调区 + 区间套 depth=1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加入 watchlist，不推送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第2层（准备）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depth≥2 + 小级别底背驰出现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预警推送：「结构蓄力中，关注」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第3层（备战）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5分在大级别 ZG 附近窄幅盘整（三买上沿_盘整）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强提醒推送：「备战，盯住 XX.XX 突破」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第4层（入场）</w:t>
            </w:r>
          </w:p>
        </w:tc>
        <w:tc>
          <w:tcPr>
            <w:tcW w:type="dxa" w:w="50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盘整上沿 / 5分 ZG 突破确认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入场信号推送：含止损价 + 仓位建议</w:t>
            </w:r>
          </w:p>
        </w:tc>
      </w:tr>
    </w:tbl>
    <w:p/>
    <w:p/>
    <w:p>
      <w:pPr>
        <w:pStyle w:val="Heading2"/>
      </w:pPr>
      <w:r>
        <w:rPr>
          <w:rFonts w:ascii="Arial" w:hAnsi="Arial" w:eastAsia="微软雅黑"/>
          <w:color w:val="2E74B5"/>
        </w:rPr>
        <w:t>10.2 与传统选股的差异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传统选股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雷达选股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扫描目标</w:t>
            </w:r>
          </w:p>
        </w:tc>
        <w:tc>
          <w:tcPr>
            <w:tcW w:type="dxa" w:w="403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日线放量突破的票</w:t>
            </w:r>
          </w:p>
        </w:tc>
        <w:tc>
          <w:tcPr>
            <w:tcW w:type="dxa" w:w="403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日线/30分在回调区的票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入场时机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突破后追涨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小级别突破大级别买点的瞬间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止损设计</w:t>
            </w:r>
          </w:p>
        </w:tc>
        <w:tc>
          <w:tcPr>
            <w:tcW w:type="dxa" w:w="403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主观或无</w:t>
            </w:r>
          </w:p>
        </w:tc>
        <w:tc>
          <w:tcPr>
            <w:tcW w:type="dxa" w:w="403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精确锚定盘整低点 / 买点低点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A股适配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容易被主力利用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主动识别洗盘，洗完信号更强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97D"/>
        </w:rPr>
        <w:t>11. 推送时机设计</w:t>
      </w:r>
    </w:p>
    <w:p>
      <w:pPr>
        <w:spacing w:after="40"/>
        <w:pBdr>
          <w:bottom w:val="single" w:sz="6" w:space="1" w:color="BFBFB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推送类型</w:t>
            </w:r>
          </w:p>
        </w:tc>
        <w:tc>
          <w:tcPr>
            <w:tcW w:type="dxa" w:w="331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触发节点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内容要点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结构预警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第2层：depth≥2 + 小级别背驰</w:t>
            </w:r>
          </w:p>
        </w:tc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「XX 日线回调区间 + 两级背驰形成，关注5分信号」</w:t>
            </w:r>
          </w:p>
        </w:tc>
        <w:tc>
          <w:tcPr>
            <w:tcW w:type="dxa" w:w="14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普通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备战推送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第3层：三买上沿_盘整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「XX 正在 ZG 附近窄幅震荡，盯住 XX.XX 突破，止损 XX.XX」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高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洗盘提醒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备战_强化：假跌破收回</w:t>
            </w:r>
          </w:p>
        </w:tc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「XX 出现假跌破后收回，主力洗盘完成，信号强化」</w:t>
            </w:r>
          </w:p>
        </w:tc>
        <w:tc>
          <w:tcPr>
            <w:tcW w:type="dxa" w:w="14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高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入场信号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第4层：5分突破确认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「XX 5分突破确认，止损=XX，仓位建议=XX%，目标=XX」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最高</w:t>
            </w:r>
          </w:p>
        </w:tc>
      </w:tr>
      <w:tr>
        <w:tc>
          <w:tcPr>
            <w:tcW w:type="dxa" w:w="216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止损预警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持仓：跌破5分ZG</w:t>
            </w:r>
          </w:p>
        </w:tc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「XX 跌破5分ZG=XX，丙情形触发，建议减仓/清仓」</w:t>
            </w:r>
          </w:p>
        </w:tc>
        <w:tc>
          <w:tcPr>
            <w:tcW w:type="dxa" w:w="144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最高</w:t>
            </w:r>
          </w:p>
        </w:tc>
      </w:tr>
    </w:tbl>
    <w:p/>
    <w:p>
      <w:pPr>
        <w:spacing w:after="120"/>
        <w:ind w:left="432"/>
        <w:shd w:val="clear" w:color="auto" w:fill="FFF8E7"/>
      </w:pPr>
      <w:r>
        <w:rPr>
          <w:sz w:val="20"/>
        </w:rPr>
        <w:t xml:space="preserve">⚠️  </w:t>
      </w:r>
      <w:r>
        <w:rPr>
          <w:rFonts w:ascii="Arial" w:hAnsi="Arial" w:eastAsia="微软雅黑"/>
          <w:i/>
          <w:color w:val="8B6000"/>
          <w:sz w:val="20"/>
        </w:rPr>
        <w:t>推送时机以小级别结构变化为触发，不以价格百分比变化为触发，避免噪音推送。</w:t>
      </w:r>
    </w:p>
    <w:p>
      <w:pPr>
        <w:pStyle w:val="Heading1"/>
      </w:pPr>
      <w:r>
        <w:rPr>
          <w:rFonts w:ascii="Arial" w:hAnsi="Arial" w:eastAsia="微软雅黑"/>
          <w:color w:val="1F497D"/>
        </w:rPr>
        <w:t>12. 数据需求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12.1 行情数据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最小K线数量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日线 / 周线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大级别结构判断 + 区间套顶层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800根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腾讯/新浪日线 API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60分 / 30分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中级别结构 + 区间套中层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800根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腾讯/新浪分时 API</w:t>
            </w:r>
          </w:p>
        </w:tc>
      </w:tr>
      <w:tr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15分 / 5分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小级别盘整检测 + 突破触发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800根</w:t>
            </w:r>
          </w:p>
        </w:tc>
        <w:tc>
          <w:tcPr>
            <w:tcW w:type="dxa" w:w="288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腾讯/新浪分时 API</w:t>
            </w:r>
          </w:p>
        </w:tc>
      </w:tr>
    </w:tbl>
    <w:p/>
    <w:p/>
    <w:p>
      <w:pPr>
        <w:pStyle w:val="Heading2"/>
      </w:pPr>
      <w:r>
        <w:rPr>
          <w:rFonts w:ascii="Arial" w:hAnsi="Arial" w:eastAsia="微软雅黑"/>
          <w:color w:val="2E74B5"/>
        </w:rPr>
        <w:t>12.2 算法依赖字段（l3 必须提供）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31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price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_analyze_single_level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当前价格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zs_free_bis_count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_build_zs_context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自由笔数量（盘整成形判断）</w:t>
            </w:r>
          </w:p>
        </w:tc>
      </w:tr>
      <w:tr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zs_free_high / zs_free_low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_build_zs_context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自由笔高低点（盘整振幅 + 止损锚）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zs_operative_zg / zs_operative_zd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_build_zs_context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操作中枢边界</w:t>
            </w:r>
          </w:p>
        </w:tc>
      </w:tr>
      <w:tr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recent_klines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_analyze_single_level</w:t>
            </w:r>
          </w:p>
        </w:tc>
        <w:tc>
          <w:tcPr>
            <w:tcW w:type="dxa" w:w="331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最近5根K（假跌破检测）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zs_departure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_build_zs_context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价格相对中枢位置（above/inside/below）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97D"/>
        </w:rPr>
        <w:t>13. 实现状态</w:t>
      </w:r>
    </w:p>
    <w:p>
      <w:pPr>
        <w:spacing w:after="40"/>
        <w:pBdr>
          <w:bottom w:val="single" w:sz="6" w:space="1" w:color="BFBFB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实现位置</w:t>
            </w:r>
          </w:p>
        </w:tc>
      </w:tr>
      <w:tr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多级别矩阵分析（体系A/B）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✅ 已实现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analyze_matrix_state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操作中枢优先原则（zs_operative_*）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✅ 已实现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_build_zs_context</w:t>
            </w:r>
          </w:p>
        </w:tc>
      </w:tr>
      <w:tr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买卖点生命周期状态机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✅ 已实现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_detect_lifecycle_node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区间套 confidence_gate 门控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✅ 已实现（v1.0新增）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_check_interval_nesting + _build_forward_analysis</w:t>
            </w:r>
          </w:p>
        </w:tc>
      </w:tr>
      <w:tr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窄幅盘整检测（三买上沿_盘整）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✅ 已实现（v1.0新增）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_detect_coiling_near_pivot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A股假突破识别与信号强化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✅ 已实现（v1.0新增）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_detect_coiling_near_pivot</w:t>
            </w:r>
          </w:p>
        </w:tc>
      </w:tr>
      <w:tr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入场触发：5分突破替代向上分型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✅ 已实现（v1.0新增）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_build_empty_position_classes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顶背驰三分类（中继/转折/疑似）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✅ 已实现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_classify_divergence_type</w:t>
            </w:r>
          </w:p>
        </w:tc>
      </w:tr>
      <w:tr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持仓丙/丁情形（5分ZG锚）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✅ 已实现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_build_holding_classes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选股分层队列推送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🔲 待实现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scanner.py（Phase 5）</w:t>
            </w:r>
          </w:p>
        </w:tc>
      </w:tr>
      <w:tr>
        <w:tc>
          <w:tcPr>
            <w:tcW w:type="dxa" w:w="432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备战推送（窄幅震荡提醒）</w:t>
            </w:r>
          </w:p>
        </w:tc>
        <w:tc>
          <w:tcPr>
            <w:tcW w:type="dxa" w:w="2592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🔲 待实现</w:t>
            </w:r>
          </w:p>
        </w:tc>
        <w:tc>
          <w:tcPr>
            <w:tcW w:type="dxa" w:w="3600"/>
            <w:shd w:val="clear" w:color="auto" w:fill="F2F7FC"/>
          </w:tcPr>
          <w:p>
            <w:r>
              <w:rPr>
                <w:rFonts w:ascii="Arial" w:hAnsi="Arial" w:eastAsia="微软雅黑"/>
                <w:sz w:val="20"/>
              </w:rPr>
              <w:t>push_service.py + price_monitor.py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假突破推送（洗盘完成提醒）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🔲 待实现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push_service.py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97D"/>
        </w:rPr>
        <w:t>14. 已知局限与风险</w:t>
      </w:r>
    </w:p>
    <w:p>
      <w:pPr>
        <w:spacing w:after="40"/>
        <w:pBdr>
          <w:bottom w:val="single" w:sz="6" w:space="1" w:color="BFBFBF"/>
        </w:pBdr>
      </w:pPr>
    </w:p>
    <w:p>
      <w:pPr>
        <w:pStyle w:val="ListBullet"/>
        <w:spacing w:after="60"/>
        <w:ind w:left="432"/>
      </w:pPr>
      <w:r>
        <w:rPr>
          <w:rFonts w:ascii="Arial" w:hAnsi="Arial" w:eastAsia="微软雅黑"/>
          <w:b/>
          <w:i w:val="0"/>
          <w:sz w:val="21"/>
        </w:rPr>
        <w:t>检测窗口限制：</w:t>
      </w:r>
      <w:r>
        <w:rPr>
          <w:rFonts w:ascii="Arial" w:hAnsi="Arial" w:eastAsia="微软雅黑"/>
          <w:b w:val="0"/>
          <w:i w:val="0"/>
          <w:sz w:val="21"/>
        </w:rPr>
        <w:t>recent_klines 仅包含最近 5 根 5分K，假跌破检测窗口较窄（约 25 分钟），高频洗盘可能漏检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/>
          <w:i w:val="0"/>
          <w:sz w:val="21"/>
        </w:rPr>
        <w:t>阈值固定：</w:t>
      </w:r>
      <w:r>
        <w:rPr>
          <w:rFonts w:ascii="Arial" w:hAnsi="Arial" w:eastAsia="微软雅黑"/>
          <w:b w:val="0"/>
          <w:i w:val="0"/>
          <w:sz w:val="21"/>
        </w:rPr>
        <w:t>盘整振幅 2% 阈值基于经验设定，高波动股票（如次新股、小市值）可能需要动态调整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/>
          <w:i w:val="0"/>
          <w:sz w:val="21"/>
        </w:rPr>
        <w:t>涨跌停处理：</w:t>
      </w:r>
      <w:r>
        <w:rPr>
          <w:rFonts w:ascii="Arial" w:hAnsi="Arial" w:eastAsia="微软雅黑"/>
          <w:b w:val="0"/>
          <w:i w:val="0"/>
          <w:sz w:val="21"/>
        </w:rPr>
        <w:t>当前不处理涨停/跌停板对结构的影响，涨停后的回踩可能触发误判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/>
          <w:i w:val="0"/>
          <w:sz w:val="21"/>
        </w:rPr>
        <w:t>T+1 规则：</w:t>
      </w:r>
      <w:r>
        <w:rPr>
          <w:rFonts w:ascii="Arial" w:hAnsi="Arial" w:eastAsia="微软雅黑"/>
          <w:b w:val="0"/>
          <w:i w:val="0"/>
          <w:sz w:val="21"/>
        </w:rPr>
        <w:t>T+1 限制：日内买入无法当日卖出，部分止损建议在 T+1 环境下执行存在滑点风险</w:t>
      </w:r>
    </w:p>
    <w:p>
      <w:pPr>
        <w:pStyle w:val="ListBullet"/>
        <w:spacing w:after="60"/>
        <w:ind w:left="432"/>
      </w:pPr>
      <w:r>
        <w:rPr>
          <w:rFonts w:ascii="Arial" w:hAnsi="Arial" w:eastAsia="微软雅黑"/>
          <w:b/>
          <w:i w:val="0"/>
          <w:sz w:val="21"/>
        </w:rPr>
        <w:t>免责声明：</w:t>
      </w:r>
      <w:r>
        <w:rPr>
          <w:rFonts w:ascii="Arial" w:hAnsi="Arial" w:eastAsia="微软雅黑"/>
          <w:b w:val="0"/>
          <w:i w:val="0"/>
          <w:sz w:val="21"/>
        </w:rPr>
        <w:t>本文档描述的所有信号仅供参考，不构成投资建议，实际操作需结合个人风险承受能力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