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773" w:type="dxa"/>
        <w:tblInd w:w="-60" w:type="dxa"/>
        <w:tblBorders>
          <w:top w:val="single" w:color="FFC000" w:sz="48" w:space="0"/>
          <w:left w:val="single" w:color="FFC000" w:sz="48" w:space="0"/>
          <w:bottom w:val="single" w:color="FFC000" w:sz="48" w:space="0"/>
          <w:right w:val="single" w:color="FFC000" w:sz="48" w:space="0"/>
          <w:insideH w:val="single" w:color="FFC000" w:sz="48" w:space="0"/>
          <w:insideV w:val="single" w:color="FFC000" w:sz="4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2"/>
        <w:gridCol w:w="5351"/>
      </w:tblGrid>
      <w:tr>
        <w:tblPrEx>
          <w:tblBorders>
            <w:top w:val="single" w:color="FFC000" w:sz="48" w:space="0"/>
            <w:left w:val="single" w:color="FFC000" w:sz="48" w:space="0"/>
            <w:bottom w:val="single" w:color="FFC000" w:sz="48" w:space="0"/>
            <w:right w:val="single" w:color="FFC000" w:sz="48" w:space="0"/>
            <w:insideH w:val="single" w:color="FFC000" w:sz="48" w:space="0"/>
            <w:insideV w:val="single" w:color="FFC000" w:sz="4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0" w:hRule="atLeast"/>
        </w:trPr>
        <w:tc>
          <w:tcPr>
            <w:tcW w:w="5422" w:type="dxa"/>
            <w:tcBorders>
              <w:bottom w:val="single" w:color="FFC000" w:sz="18" w:space="0"/>
              <w:right w:val="single" w:color="FFC000" w:sz="6" w:space="0"/>
            </w:tcBorders>
          </w:tcPr>
          <w:p>
            <w:pPr>
              <w:ind w:left="210" w:leftChars="100" w:right="210" w:rightChars="100"/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周思佳</w:t>
            </w:r>
          </w:p>
          <w:p>
            <w:pPr>
              <w:ind w:left="210" w:leftChars="100" w:right="210" w:rightChars="100"/>
              <w:jc w:val="center"/>
              <w:rPr>
                <w:b/>
                <w:color w:val="C45911"/>
                <w:sz w:val="44"/>
                <w:szCs w:val="44"/>
              </w:rPr>
            </w:pPr>
            <w:r>
              <w:rPr>
                <w:rFonts w:hint="eastAsia"/>
                <w:b/>
                <w:color w:val="C45911"/>
                <w:sz w:val="44"/>
                <w:szCs w:val="44"/>
              </w:rPr>
              <w:t>个人信息</w:t>
            </w:r>
          </w:p>
          <w:p>
            <w:pPr>
              <w:spacing w:before="93" w:beforeLines="30" w:after="93" w:afterLines="30"/>
              <w:ind w:left="210" w:leftChars="100" w:right="210" w:rightChars="100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性别：女  年龄：2</w:t>
            </w:r>
            <w:r>
              <w:rPr>
                <w:sz w:val="23"/>
                <w:szCs w:val="23"/>
              </w:rPr>
              <w:t>3</w:t>
            </w:r>
          </w:p>
          <w:p>
            <w:pPr>
              <w:spacing w:before="93" w:beforeLines="30" w:after="93" w:afterLines="30"/>
              <w:ind w:left="210" w:leftChars="100" w:right="210" w:rightChars="100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电话：1</w:t>
            </w:r>
            <w:r>
              <w:rPr>
                <w:sz w:val="23"/>
                <w:szCs w:val="23"/>
              </w:rPr>
              <w:t>7775745420</w:t>
            </w:r>
          </w:p>
          <w:p>
            <w:pPr>
              <w:spacing w:before="93" w:beforeLines="30" w:after="93" w:afterLines="30" w:line="240" w:lineRule="exact"/>
              <w:ind w:left="210" w:leftChars="100" w:right="210" w:rightChars="10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sz w:val="23"/>
                <w:szCs w:val="23"/>
              </w:rPr>
              <w:t>邮箱：</w:t>
            </w:r>
            <w:r>
              <w:rPr>
                <w:sz w:val="23"/>
                <w:szCs w:val="23"/>
              </w:rPr>
              <w:t>773580988@qq.com</w:t>
            </w:r>
          </w:p>
        </w:tc>
        <w:tc>
          <w:tcPr>
            <w:tcW w:w="5351" w:type="dxa"/>
            <w:tcBorders>
              <w:top w:val="single" w:color="FFC000" w:sz="48" w:space="0"/>
              <w:left w:val="single" w:color="FFC000" w:sz="6" w:space="0"/>
              <w:bottom w:val="single" w:color="FFC000" w:sz="18" w:space="0"/>
              <w:right w:val="single" w:color="FFC000" w:sz="48" w:space="0"/>
            </w:tcBorders>
          </w:tcPr>
          <w:p>
            <w:pPr>
              <w:spacing w:before="187" w:beforeLines="60" w:after="93" w:afterLines="30"/>
              <w:ind w:left="210" w:leftChars="100" w:right="210" w:rightChars="100"/>
              <w:rPr>
                <w:b/>
                <w:color w:val="C45911"/>
                <w:sz w:val="44"/>
                <w:szCs w:val="44"/>
              </w:rPr>
            </w:pPr>
            <w:r>
              <w:rPr>
                <w:rFonts w:hint="eastAsia"/>
                <w:b/>
                <w:color w:val="C45911"/>
                <w:sz w:val="44"/>
                <w:szCs w:val="44"/>
              </w:rPr>
              <w:t>荣誉奖项</w:t>
            </w:r>
          </w:p>
          <w:p>
            <w:pPr>
              <w:spacing w:before="124" w:beforeLines="4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大学生创新创业训练计划项目二等奖  2017.04                                    </w:t>
            </w:r>
          </w:p>
          <w:p>
            <w:pPr>
              <w:spacing w:before="124" w:beforeLines="4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美国数学建模大赛H奖              2017.02                                              </w:t>
            </w:r>
          </w:p>
          <w:p>
            <w:pPr>
              <w:spacing w:before="124" w:beforeLines="4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国家奖学金                        2015.10                                                     </w:t>
            </w:r>
          </w:p>
          <w:p>
            <w:pPr>
              <w:spacing w:before="124" w:beforeLines="40" w:after="93" w:afterLines="30"/>
              <w:ind w:left="210" w:leftChars="100" w:right="210" w:rightChars="100"/>
              <w:rPr>
                <w:szCs w:val="21"/>
              </w:rPr>
            </w:pPr>
            <w:r>
              <w:rPr>
                <w:sz w:val="23"/>
                <w:szCs w:val="23"/>
              </w:rPr>
              <w:t>吉林省数学建模大赛一等奖          2015.05</w:t>
            </w:r>
          </w:p>
        </w:tc>
      </w:tr>
      <w:tr>
        <w:tblPrEx>
          <w:tblBorders>
            <w:top w:val="single" w:color="FFC000" w:sz="48" w:space="0"/>
            <w:left w:val="single" w:color="FFC000" w:sz="48" w:space="0"/>
            <w:bottom w:val="single" w:color="FFC000" w:sz="48" w:space="0"/>
            <w:right w:val="single" w:color="FFC000" w:sz="48" w:space="0"/>
            <w:insideH w:val="single" w:color="FFC000" w:sz="48" w:space="0"/>
            <w:insideV w:val="single" w:color="FFC000" w:sz="4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" w:hRule="atLeast"/>
        </w:trPr>
        <w:tc>
          <w:tcPr>
            <w:tcW w:w="10773" w:type="dxa"/>
            <w:gridSpan w:val="2"/>
            <w:tcBorders>
              <w:top w:val="single" w:color="FFC000" w:sz="18" w:space="0"/>
              <w:left w:val="single" w:color="FFC000" w:sz="48" w:space="0"/>
              <w:bottom w:val="single" w:color="FFC000" w:sz="18" w:space="0"/>
              <w:right w:val="single" w:color="FFC000" w:sz="48" w:space="0"/>
            </w:tcBorders>
          </w:tcPr>
          <w:p>
            <w:pPr>
              <w:spacing w:before="93" w:beforeLines="30" w:after="93" w:afterLines="30"/>
              <w:ind w:left="210" w:leftChars="100" w:right="210" w:rightChars="100"/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color w:val="C45911"/>
                <w:sz w:val="44"/>
                <w:szCs w:val="44"/>
              </w:rPr>
              <w:t>教育经历</w:t>
            </w:r>
          </w:p>
          <w:p>
            <w:pPr>
              <w:spacing w:before="93" w:beforeLines="30" w:after="93" w:afterLines="30"/>
              <w:ind w:left="210" w:leftChars="100" w:right="210" w:rightChars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2014年9月- 2018年7月 吉林大学</w:t>
            </w:r>
            <w:r>
              <w:rPr>
                <w:rFonts w:hint="eastAsia"/>
                <w:sz w:val="23"/>
                <w:szCs w:val="23"/>
              </w:rPr>
              <w:t xml:space="preserve"> 数学学院</w:t>
            </w:r>
            <w:r>
              <w:rPr>
                <w:sz w:val="23"/>
                <w:szCs w:val="23"/>
              </w:rPr>
              <w:t xml:space="preserve"> </w:t>
            </w:r>
          </w:p>
          <w:p>
            <w:pPr>
              <w:spacing w:before="93" w:beforeLines="30" w:after="93" w:afterLines="30"/>
              <w:ind w:right="210" w:rightChars="100"/>
              <w:jc w:val="center"/>
              <w:rPr>
                <w:sz w:val="22"/>
              </w:rPr>
            </w:pPr>
            <w:r>
              <w:rPr>
                <w:sz w:val="23"/>
                <w:szCs w:val="23"/>
              </w:rPr>
              <w:t xml:space="preserve">     信息与计算科学本科 保险精算双学位 专业第三名</w:t>
            </w:r>
            <w:r>
              <w:rPr>
                <w:rFonts w:hint="eastAsia"/>
                <w:sz w:val="23"/>
                <w:szCs w:val="23"/>
                <w:lang w:eastAsia="zh-Hans"/>
              </w:rPr>
              <w:t>，绩点是</w:t>
            </w:r>
            <w:r>
              <w:rPr>
                <w:sz w:val="23"/>
                <w:szCs w:val="23"/>
                <w:lang w:eastAsia="zh-Hans"/>
              </w:rPr>
              <w:t>3.61/4.0</w:t>
            </w:r>
            <w:r>
              <w:rPr>
                <w:rFonts w:hint="eastAsia"/>
                <w:sz w:val="23"/>
                <w:szCs w:val="23"/>
                <w:lang w:eastAsia="zh-Hans"/>
              </w:rPr>
              <w:t>，</w:t>
            </w:r>
            <w:r>
              <w:rPr>
                <w:sz w:val="23"/>
                <w:szCs w:val="23"/>
                <w:lang w:eastAsia="zh-Hans"/>
              </w:rPr>
              <w:t>96</w:t>
            </w:r>
            <w:r>
              <w:rPr>
                <w:rFonts w:hint="eastAsia"/>
                <w:sz w:val="23"/>
                <w:szCs w:val="23"/>
                <w:lang w:eastAsia="zh-Hans"/>
              </w:rPr>
              <w:t>人中第</w:t>
            </w:r>
            <w:r>
              <w:rPr>
                <w:sz w:val="23"/>
                <w:szCs w:val="23"/>
                <w:lang w:eastAsia="zh-Hans"/>
              </w:rPr>
              <w:t>3</w:t>
            </w:r>
            <w:r>
              <w:rPr>
                <w:rFonts w:hint="eastAsia"/>
                <w:sz w:val="23"/>
                <w:szCs w:val="23"/>
                <w:lang w:eastAsia="zh-Hans"/>
              </w:rPr>
              <w:t>名。</w:t>
            </w:r>
          </w:p>
        </w:tc>
      </w:tr>
      <w:tr>
        <w:tblPrEx>
          <w:tblBorders>
            <w:top w:val="single" w:color="FFC000" w:sz="48" w:space="0"/>
            <w:left w:val="single" w:color="FFC000" w:sz="48" w:space="0"/>
            <w:bottom w:val="single" w:color="FFC000" w:sz="48" w:space="0"/>
            <w:right w:val="single" w:color="FFC000" w:sz="48" w:space="0"/>
            <w:insideH w:val="single" w:color="FFC000" w:sz="48" w:space="0"/>
            <w:insideV w:val="single" w:color="FFC000" w:sz="4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4" w:hRule="atLeast"/>
        </w:trPr>
        <w:tc>
          <w:tcPr>
            <w:tcW w:w="5422" w:type="dxa"/>
            <w:tcBorders>
              <w:top w:val="single" w:color="FFC000" w:sz="18" w:space="0"/>
              <w:right w:val="single" w:color="FFC000" w:sz="6" w:space="0"/>
            </w:tcBorders>
          </w:tcPr>
          <w:p>
            <w:pPr>
              <w:spacing w:before="93" w:beforeLines="30" w:after="93" w:afterLines="30"/>
              <w:ind w:left="210" w:leftChars="100" w:right="210" w:rightChars="100"/>
              <w:rPr>
                <w:b/>
                <w:color w:val="C45911"/>
                <w:sz w:val="44"/>
                <w:szCs w:val="44"/>
              </w:rPr>
            </w:pPr>
            <w:r>
              <w:rPr>
                <w:rFonts w:hint="eastAsia"/>
                <w:b/>
                <w:color w:val="C45911"/>
                <w:sz w:val="44"/>
                <w:szCs w:val="44"/>
              </w:rPr>
              <w:t>工作经历</w:t>
            </w:r>
          </w:p>
          <w:p>
            <w:pPr>
              <w:tabs>
                <w:tab w:val="left" w:pos="716"/>
              </w:tabs>
              <w:spacing w:before="93" w:beforeLines="30" w:after="93" w:afterLines="30"/>
              <w:ind w:left="210" w:leftChars="100" w:right="210" w:rightChars="100"/>
              <w:rPr>
                <w:rFonts w:hint="default" w:eastAsia="等线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szCs w:val="23"/>
                <w:lang w:val="en-US" w:eastAsia="zh-CN"/>
              </w:rPr>
              <w:t>湖南千视通信息科技有限公司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rFonts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>2019.5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-</w:t>
            </w:r>
            <w:r>
              <w:rPr>
                <w:rFonts w:hint="eastAsia"/>
                <w:sz w:val="23"/>
                <w:szCs w:val="23"/>
              </w:rPr>
              <w:t>至今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3"/>
                <w:szCs w:val="23"/>
              </w:rPr>
              <w:t>•</w:t>
            </w:r>
            <w:r>
              <w:rPr>
                <w:rFonts w:hint="eastAsia"/>
                <w:lang w:val="en-US" w:eastAsia="zh-CN"/>
              </w:rPr>
              <w:t>聚类:数据分类、聚类。实现千万级高维特征向量的可增量实时聚类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rFonts w:hint="default"/>
                <w:lang w:val="en-US"/>
              </w:rPr>
            </w:pPr>
            <w:r>
              <w:rPr>
                <w:rFonts w:hint="eastAsia"/>
                <w:sz w:val="23"/>
                <w:szCs w:val="23"/>
              </w:rPr>
              <w:t>•</w:t>
            </w:r>
            <w:r>
              <w:rPr>
                <w:rFonts w:hint="eastAsia"/>
                <w:lang w:val="en-US" w:eastAsia="zh-CN"/>
              </w:rPr>
              <w:t>人体、人骑车角度分类，人头检测，人脸追踪，猫狗识别，数据爬虫等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rFonts w:hint="eastAsia"/>
                <w:b/>
                <w:color w:val="C45911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b/>
                <w:color w:val="C45911"/>
                <w:sz w:val="44"/>
                <w:szCs w:val="44"/>
                <w:lang w:val="en-US" w:eastAsia="zh-CN"/>
              </w:rPr>
              <w:t>工作期间学习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</w:rPr>
              <w:t>•</w:t>
            </w:r>
            <w:r>
              <w:rPr>
                <w:rFonts w:hint="default"/>
                <w:sz w:val="23"/>
                <w:szCs w:val="23"/>
                <w:lang w:val="en-US" w:eastAsia="zh-Hans"/>
              </w:rPr>
              <w:t>Stanford计算机课程： cs 131, cs 229(部分) , cs230, cs231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，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rFonts w:hint="default"/>
                <w:sz w:val="23"/>
                <w:szCs w:val="23"/>
                <w:lang w:val="en-US" w:eastAsia="zh-Hans"/>
              </w:rPr>
            </w:pPr>
            <w:r>
              <w:rPr>
                <w:rFonts w:hint="default"/>
                <w:sz w:val="23"/>
                <w:szCs w:val="23"/>
                <w:lang w:val="en-US" w:eastAsia="zh-Hans"/>
              </w:rPr>
              <w:t>完成课后作业&amp;课件&amp;课程视频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。</w:t>
            </w:r>
            <w:r>
              <w:rPr>
                <w:rFonts w:hint="default"/>
                <w:sz w:val="23"/>
                <w:szCs w:val="23"/>
                <w:lang w:val="en-US" w:eastAsia="zh-Hans"/>
              </w:rPr>
              <w:t>学习了解计算机视觉，神经网络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，</w:t>
            </w:r>
            <w:r>
              <w:rPr>
                <w:rFonts w:hint="default"/>
                <w:sz w:val="23"/>
                <w:szCs w:val="23"/>
                <w:lang w:val="en-US" w:eastAsia="zh-Hans"/>
              </w:rPr>
              <w:t>机器学习等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内容</w:t>
            </w:r>
            <w:r>
              <w:rPr>
                <w:rFonts w:hint="default"/>
                <w:sz w:val="23"/>
                <w:szCs w:val="23"/>
                <w:lang w:val="en-US" w:eastAsia="zh-Hans"/>
              </w:rPr>
              <w:t>。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rFonts w:hint="default" w:eastAsia="等线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</w:rPr>
              <w:t>•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期间阅读的部分paper见注一</w:t>
            </w:r>
          </w:p>
          <w:p>
            <w:pPr>
              <w:spacing w:before="156" w:beforeLines="50" w:after="93" w:afterLines="30"/>
              <w:ind w:left="210" w:leftChars="100" w:right="210" w:rightChars="100"/>
              <w:rPr>
                <w:sz w:val="44"/>
                <w:szCs w:val="44"/>
              </w:rPr>
            </w:pPr>
            <w:r>
              <w:rPr>
                <w:rFonts w:hint="eastAsia"/>
                <w:b/>
                <w:color w:val="C45911"/>
                <w:sz w:val="44"/>
                <w:szCs w:val="44"/>
              </w:rPr>
              <w:t xml:space="preserve">活动经历 </w:t>
            </w:r>
            <w:r>
              <w:rPr>
                <w:sz w:val="44"/>
                <w:szCs w:val="44"/>
              </w:rPr>
              <w:t xml:space="preserve"> 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组织校园模拟招聘</w:t>
            </w:r>
            <w:r>
              <w:rPr>
                <w:rFonts w:hint="eastAsia"/>
                <w:b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  2016</w:t>
            </w:r>
            <w:r>
              <w:rPr>
                <w:rFonts w:hint="eastAsia"/>
                <w:sz w:val="23"/>
                <w:szCs w:val="23"/>
              </w:rPr>
              <w:t>.0</w:t>
            </w:r>
            <w:r>
              <w:rPr>
                <w:sz w:val="23"/>
                <w:szCs w:val="23"/>
              </w:rPr>
              <w:t>5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•</w:t>
            </w:r>
            <w:r>
              <w:rPr>
                <w:sz w:val="23"/>
                <w:szCs w:val="23"/>
              </w:rPr>
              <w:t>参与策划设计活动海报，安排面试环节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•</w:t>
            </w:r>
            <w:r>
              <w:rPr>
                <w:sz w:val="23"/>
                <w:szCs w:val="23"/>
              </w:rPr>
              <w:t>发起公开招聘，活动包括简历投递和英文面试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撰写表演英语剧</w:t>
            </w:r>
            <w:r>
              <w:rPr>
                <w:sz w:val="23"/>
                <w:szCs w:val="23"/>
              </w:rPr>
              <w:t>Mind Your Language  2014</w:t>
            </w:r>
            <w:r>
              <w:rPr>
                <w:rFonts w:hint="eastAsia"/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12-2015</w:t>
            </w:r>
            <w:r>
              <w:rPr>
                <w:rFonts w:hint="eastAsia"/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01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•</w:t>
            </w:r>
            <w:r>
              <w:rPr>
                <w:sz w:val="23"/>
                <w:szCs w:val="23"/>
              </w:rPr>
              <w:t>通过文字和发音表现各国语言和文化冲突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•</w:t>
            </w:r>
            <w:r>
              <w:rPr>
                <w:sz w:val="23"/>
                <w:szCs w:val="23"/>
              </w:rPr>
              <w:t>与成员合作撰写</w:t>
            </w:r>
            <w:r>
              <w:rPr>
                <w:rFonts w:hint="eastAsia"/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>修改剧本台词</w:t>
            </w:r>
            <w:r>
              <w:rPr>
                <w:rFonts w:hint="eastAsia"/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>组织小组排练和舞台表演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吉林大学校管弦乐团</w:t>
            </w:r>
            <w:r>
              <w:rPr>
                <w:b/>
                <w:sz w:val="23"/>
                <w:szCs w:val="23"/>
              </w:rPr>
              <w:tab/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2014</w:t>
            </w:r>
            <w:r>
              <w:rPr>
                <w:rFonts w:hint="eastAsia"/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09-2015</w:t>
            </w:r>
            <w:r>
              <w:rPr>
                <w:rFonts w:hint="eastAsia"/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09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Cs w:val="21"/>
              </w:rPr>
            </w:pPr>
            <w:r>
              <w:rPr>
                <w:rFonts w:hint="eastAsia"/>
                <w:sz w:val="23"/>
                <w:szCs w:val="23"/>
              </w:rPr>
              <w:t>•</w:t>
            </w:r>
            <w:r>
              <w:rPr>
                <w:sz w:val="23"/>
                <w:szCs w:val="23"/>
              </w:rPr>
              <w:t>参与数十场校园音乐会巡演，并在东方大剧院演出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开展学生最喜爱名人的调查</w:t>
            </w:r>
            <w:r>
              <w:rPr>
                <w:sz w:val="23"/>
                <w:szCs w:val="23"/>
              </w:rPr>
              <w:t>2014.09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•</w:t>
            </w:r>
            <w:r>
              <w:rPr>
                <w:sz w:val="23"/>
                <w:szCs w:val="23"/>
              </w:rPr>
              <w:t>分为科学家，政治家，政治家，艺术家和明星等几类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•</w:t>
            </w:r>
            <w:r>
              <w:rPr>
                <w:sz w:val="23"/>
                <w:szCs w:val="23"/>
              </w:rPr>
              <w:t>通过校园问卷获得近百个有效原始数据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•</w:t>
            </w:r>
            <w:r>
              <w:rPr>
                <w:sz w:val="23"/>
                <w:szCs w:val="23"/>
              </w:rPr>
              <w:t>分类整理数据，制作条形图等对比分析，进一步讨论学生的喜好与他们未来选择职业是否存在联系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</w:p>
          <w:p>
            <w:pPr>
              <w:spacing w:before="93" w:beforeLines="30" w:after="93" w:afterLines="30"/>
              <w:ind w:left="210" w:leftChars="0" w:right="210" w:rightChars="100"/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注二：期间阅读的部分paper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00" w:lineRule="exact"/>
              <w:ind w:left="0" w:leftChars="0"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 xml:space="preserve">E. Reinhard, M. Adhikhmin, B. Gooch, and P. Shirley, Color transfer between images, IEEEComput. Graph. Appl., 21 (2001), pp. 34–41.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00" w:lineRule="exact"/>
              <w:ind w:left="0" w:leftChars="0"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[2] F. Piti´e, A. Kokaram, and R. Dahyot. Automated colour grading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00" w:lineRule="exact"/>
              <w:ind w:left="0" w:leftChars="0"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using colour distribution transfer. Journal of Computer Vision 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00" w:lineRule="exact"/>
              <w:ind w:left="0" w:leftChars="0"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Image Understanding, February 2007.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00" w:lineRule="exact"/>
              <w:ind w:left="0" w:leftChars="0"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[3] Pitié, F, Kokaram, A. (2007). The linear Monge-Kantorovitch colour mapping for example-based colour transfer. IET Conference Publications. 1 - 9. 10.1049/cp:20070055.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00" w:lineRule="exact"/>
              <w:ind w:left="0" w:leftChars="0"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[4] J. Delon, Midway image equalization, J. Math. Imaging Vision, 21 (2004), pp. 119–134.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00" w:lineRule="exact"/>
              <w:ind w:left="0" w:leftChars="0"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[5] Ferradans, S., Papadakis, N., Peyré, G., and Aujol, J.-F. 2014.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00" w:lineRule="exact"/>
              <w:ind w:left="0" w:leftChars="0"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Regularized discrete optimal transport.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00" w:lineRule="exact"/>
              <w:ind w:left="0" w:leftChars="0"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[6] Rabin, Julien, Delon, Julie and Gousseau, Yann. Regularization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00" w:lineRule="exact"/>
              <w:ind w:left="0" w:leftChars="0"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of transportation maps for color and contrast transfer. Paper presented at the meeting of the ICIP, 2010.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00" w:lineRule="exact"/>
              <w:ind w:left="0" w:leftChars="0"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[7] Rabin, Julien, Sira Ferradans, and Nicolas Papadakis. Adaptive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00" w:lineRule="exact"/>
              <w:ind w:left="0" w:leftChars="0"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color transfer with relaxed optimal transport. Image Processing (ICIP),2014 IEEE International Conference on. IEEE, 2014. [8] Frigo O, Sabater N, Demoulin V, Hellier P. Optimal transportation for example-guided color transfer. In: Computer vision – ACCV 2014.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00" w:lineRule="exact"/>
              <w:ind w:left="0" w:leftChars="0"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[9] N. Bonneel, M. van de Panne, S. Paris, and W. Heidrich, Displacement interpolation using agrangian mass transport, ACM Trans. Graph., 30 (2011), 158.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00" w:lineRule="exact"/>
              <w:ind w:left="0" w:leftChars="0"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[10] Santambrogio, F.: Optimal Transport for Applied Mathematicians. Birkhäuser Verlag, Basel 2015.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00" w:lineRule="exact"/>
              <w:ind w:left="0" w:leftChars="0"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[11] McCann, N. Guillen, Five lectures on optimal transportation: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00" w:lineRule="exact"/>
              <w:ind w:left="0" w:leftChars="0"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geometry, regularity and applications 2010.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00" w:lineRule="exact"/>
              <w:ind w:left="0" w:leftChars="0"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[12] Montavon, Grégoire, Klaus-Robert Müller, and Marco Cuturi.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00" w:lineRule="exact"/>
              <w:ind w:left="210" w:leftChars="0"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Wasserstein training of restricted Boltzmann machines. Advances in Neural Information Processing Systems. 2016.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180" w:lineRule="atLeast"/>
              <w:ind w:left="210" w:leftChars="0" w:right="210" w:rightChars="100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</w:p>
        </w:tc>
        <w:tc>
          <w:tcPr>
            <w:tcW w:w="5351" w:type="dxa"/>
            <w:tcBorders>
              <w:top w:val="single" w:color="FFC000" w:sz="18" w:space="0"/>
              <w:left w:val="single" w:color="FFC000" w:sz="6" w:space="0"/>
            </w:tcBorders>
          </w:tcPr>
          <w:p>
            <w:pPr>
              <w:spacing w:before="156" w:beforeLines="50" w:after="93" w:afterLines="30"/>
              <w:ind w:left="210" w:leftChars="100" w:right="210" w:rightChars="100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color w:val="C45911"/>
                <w:sz w:val="44"/>
                <w:szCs w:val="44"/>
              </w:rPr>
              <w:t>科研经历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加拿大Mitacs科研实习</w:t>
            </w:r>
            <w:r>
              <w:rPr>
                <w:rFonts w:hint="eastAsia"/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   2017</w:t>
            </w:r>
            <w:r>
              <w:rPr>
                <w:rFonts w:hint="eastAsia"/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07-2017</w:t>
            </w:r>
            <w:r>
              <w:rPr>
                <w:rFonts w:hint="eastAsia"/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09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•</w:t>
            </w:r>
            <w:r>
              <w:rPr>
                <w:sz w:val="23"/>
                <w:szCs w:val="23"/>
              </w:rPr>
              <w:t>在加拿大阿尔伯塔大学进行“最优运输及其在颜色迁移和机器学习方面应用”研究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•</w:t>
            </w:r>
            <w:r>
              <w:rPr>
                <w:sz w:val="23"/>
                <w:szCs w:val="23"/>
              </w:rPr>
              <w:t>通过阅读书籍文献，MATLAB编程等进行研究学习，定期与指导老师交流阶段研究成果与进一步研究方向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•</w:t>
            </w:r>
            <w:r>
              <w:rPr>
                <w:sz w:val="23"/>
                <w:szCs w:val="23"/>
              </w:rPr>
              <w:t>项目中后期，组织参与来自多个国家百余名师生的成果展示与讨论会，撰写学习课题全英文总结报告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rFonts w:hint="default"/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</w:rPr>
              <w:t>•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期间阅读的部分paper见注二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金融衍生品定价的数值方法</w:t>
            </w:r>
            <w:r>
              <w:rPr>
                <w:sz w:val="23"/>
                <w:szCs w:val="23"/>
              </w:rPr>
              <w:t>2016</w:t>
            </w:r>
            <w:r>
              <w:rPr>
                <w:rFonts w:hint="eastAsia"/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06-2017</w:t>
            </w:r>
            <w:r>
              <w:rPr>
                <w:rFonts w:hint="eastAsia"/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04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•</w:t>
            </w:r>
            <w:r>
              <w:rPr>
                <w:sz w:val="23"/>
                <w:szCs w:val="23"/>
              </w:rPr>
              <w:t>小组课题入选大学生创新创业训练计划项目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•</w:t>
            </w:r>
            <w:r>
              <w:rPr>
                <w:sz w:val="23"/>
                <w:szCs w:val="23"/>
              </w:rPr>
              <w:t>研究分析了行业常用的金融产品定价方法的优缺点，例如B-S定价模型；通过改变边界形式改进算法，分析证明其可行性与稳健性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•</w:t>
            </w:r>
            <w:r>
              <w:rPr>
                <w:sz w:val="23"/>
                <w:szCs w:val="23"/>
              </w:rPr>
              <w:t>撰写项目任务书，并充分准备终期答辩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b/>
                <w:color w:val="C45911"/>
                <w:sz w:val="44"/>
                <w:szCs w:val="44"/>
              </w:rPr>
            </w:pPr>
            <w:r>
              <w:rPr>
                <w:rFonts w:hint="eastAsia"/>
                <w:b/>
                <w:color w:val="C45911"/>
                <w:sz w:val="44"/>
                <w:szCs w:val="44"/>
              </w:rPr>
              <w:t>实习经历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长沙麓谷资本管理公司                                                   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2018</w:t>
            </w:r>
            <w:r>
              <w:rPr>
                <w:rFonts w:hint="eastAsia"/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01-2018.02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•</w:t>
            </w:r>
            <w:r>
              <w:rPr>
                <w:sz w:val="23"/>
                <w:szCs w:val="23"/>
              </w:rPr>
              <w:t>实习过程中，通过跟进公司正在关注和沟通的投资项目，了解创业投资的基本过程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•</w:t>
            </w:r>
            <w:r>
              <w:rPr>
                <w:sz w:val="23"/>
                <w:szCs w:val="23"/>
              </w:rPr>
              <w:t>学习阅读商业计划书，总结潜在投资项目的特点</w:t>
            </w: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</w:p>
          <w:p>
            <w:pPr>
              <w:spacing w:before="93" w:beforeLines="30" w:after="93" w:afterLines="30"/>
              <w:ind w:left="210" w:leftChars="100" w:right="210" w:rightChars="100"/>
              <w:rPr>
                <w:sz w:val="23"/>
                <w:szCs w:val="2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180" w:lineRule="atLeast"/>
              <w:ind w:right="210" w:rightChars="100"/>
              <w:textAlignment w:val="auto"/>
              <w:rPr>
                <w:rFonts w:hint="eastAsia"/>
                <w:sz w:val="23"/>
                <w:szCs w:val="2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180" w:lineRule="atLeast"/>
              <w:ind w:right="210" w:rightChars="100"/>
              <w:textAlignment w:val="auto"/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注一：期间阅读的部分paper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20" w:lineRule="exact"/>
              <w:ind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 xml:space="preserve">Isola, Phillip &amp; Zhu, Jun-Yan &amp; Zhou, Tinghui &amp; Efros, Alexei. (2017). Image-to-Image Translation with Conditional Adversarial Networks. 5967-5976. 10.1109/CVPR.2017.632.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20" w:lineRule="exact"/>
              <w:ind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 xml:space="preserve">Redmon, Joseph &amp; Farhadi, Ali. (2018). YOLOv3: An Incremental Improvement.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20" w:lineRule="exact"/>
              <w:ind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 xml:space="preserve">Zhou, Bolei &amp; Khosla, Aditya &amp; Lapedriza, Àgata &amp; Oliva, Aude &amp; Torralba, Antonio. (2016). Learning Deep Features for Discriminative Localization. 10.1109/CVPR.2016.319.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20" w:lineRule="exact"/>
              <w:ind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 xml:space="preserve">Srivastava, Nitish &amp; Hinton, Geoffrey &amp; Krizhevsky, Alex &amp; Sutskever, Ilya &amp; Salakhutdinov, Ruslan. (2014). Dropout: A Simple Way to Prevent Neural Networks from Overfitting. Journal of Machine Learning Research. 15. 1929-1958.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20" w:lineRule="exact"/>
              <w:ind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 xml:space="preserve">Goodfellow, Ian &amp; Shlens, Jonathon &amp; Szegedy, Christian. (2014). Explaining and Harnessing Adversarial Examples. arXiv 1412.6572.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20" w:lineRule="exact"/>
              <w:ind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 xml:space="preserve">Goodfellow, Ian &amp; Pouget-Abadie, Jean &amp; Mirza, Mehdi &amp; Xu, Bing &amp; Warde-Farley, David &amp; Ozair, Sherjil &amp; Courville, Aaron &amp; Bengio, Y.. (2014). Generative Adversarial Nets. ArXiv.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20" w:lineRule="exact"/>
              <w:ind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 xml:space="preserve">Redmon, Joseph &amp; Divvala, Santosh &amp; Girshick, Ross &amp; Farhadi, Ali. (2016). You Only Look Once: Unified, Real-Time Object Detection. 779-788. 10.1109/CVPR.2016.91.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20" w:lineRule="exact"/>
              <w:ind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Kingma, D., &amp; Ba, J..(2014).Adam: a method for stochastic optimization. Computer ence.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20" w:lineRule="exact"/>
              <w:ind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Helmbold, D.P., &amp; Long, P.M..(2016).Surprising properties of dropout in deep networks.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20" w:lineRule="exact"/>
              <w:ind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Gatys,L.A.,Ecker,A.S., &amp; Bethge, M..(2016).Image Style Transfer Using Convolutional Neural Networks.Computer Vision &amp; Pattern Recognition.IEEE.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20" w:lineRule="exact"/>
              <w:ind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Shi, W., Caballero, J., Theis, L., Huszar, F., Aitken, A., &amp; Ledig, C., et al.(2016).Is the deconvolution layer the same as a convolutional layer?.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20" w:lineRule="exact"/>
              <w:ind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Zeiler, M.D., &amp; Fergus, R..(2013).Visualizing and Understanding Convolutional Networks.European Conference on Computer Vision.Springer International Publishing.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20" w:lineRule="exact"/>
              <w:ind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Simonyan, K., Vedaldi, A., &amp; Zisserman, A..(2013).Deep inside convolutional networks: visualising image classification models and saliency maps.Computer ence.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20" w:lineRule="exact"/>
              <w:ind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Dumoulin, V., &amp; Visin, F..(2016).A guide to convolution arithmetic for deep learning.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20" w:lineRule="exact"/>
              <w:ind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Huang, G., Liu, Z., Maaten, L.V.D., &amp; Weinberger, K.Q..(2017).Densely Connected Convolutional Networks.CVPR.IEEE Computer Society.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20" w:lineRule="exact"/>
              <w:ind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Ioffe, S., &amp; Szegedy, C..(2015).Batch normalization: accelerating deep network training by reducing internal covariate shift.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20" w:lineRule="exact"/>
              <w:ind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Kaiming, H., Georgia, G., Piotr, D., &amp; Ross, G..(2017).Mask r-cnn.IEEE Transactions on Pattern Analysis &amp; Machine Intelligence, PP, 1-1.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20" w:lineRule="exact"/>
              <w:ind w:right="210" w:rightChars="100"/>
              <w:textAlignment w:val="auto"/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Zhu, J.Y., Park, T., Isola, P., &amp; Efros, A.A..(2017).Unpaired image-to-image translation using cycle-consistent adversarial networks.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" w:beforeLines="30" w:after="93" w:afterLines="30" w:line="220" w:lineRule="exact"/>
              <w:ind w:right="210" w:rightChars="100"/>
              <w:textAlignment w:val="auto"/>
              <w:rPr>
                <w:sz w:val="23"/>
                <w:szCs w:val="23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6"/>
                <w:szCs w:val="16"/>
                <w:lang w:val="en-US" w:eastAsia="zh-CN"/>
              </w:rPr>
              <w:t>Ledig, C., Theis, L., Huszar, F., Caballero, J., Cunningham, A., &amp; Acosta, A., et al.(2016).Photo-realistic single image super-resolution using a generative adversarial network.</w:t>
            </w:r>
            <w:bookmarkStart w:id="0" w:name="_GoBack"/>
            <w:bookmarkEnd w:id="0"/>
          </w:p>
        </w:tc>
      </w:tr>
    </w:tbl>
    <w:p>
      <w:pPr>
        <w:spacing w:before="93" w:beforeLines="30" w:after="93" w:afterLines="30"/>
        <w:rPr>
          <w:szCs w:val="21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40B85A"/>
    <w:multiLevelType w:val="singleLevel"/>
    <w:tmpl w:val="C540B85A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4AB321CB"/>
    <w:multiLevelType w:val="singleLevel"/>
    <w:tmpl w:val="4AB321CB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944"/>
    <w:rsid w:val="00116944"/>
    <w:rsid w:val="00AD2A57"/>
    <w:rsid w:val="05C37485"/>
    <w:rsid w:val="0A355337"/>
    <w:rsid w:val="0DF91610"/>
    <w:rsid w:val="0E9E7174"/>
    <w:rsid w:val="11E122CE"/>
    <w:rsid w:val="11FF23E4"/>
    <w:rsid w:val="14A23A8E"/>
    <w:rsid w:val="15AD4B80"/>
    <w:rsid w:val="191444F4"/>
    <w:rsid w:val="1ED007B6"/>
    <w:rsid w:val="1F915B79"/>
    <w:rsid w:val="244240E0"/>
    <w:rsid w:val="269F5A66"/>
    <w:rsid w:val="280077AA"/>
    <w:rsid w:val="28930195"/>
    <w:rsid w:val="29E23503"/>
    <w:rsid w:val="29E7099D"/>
    <w:rsid w:val="2B046E0A"/>
    <w:rsid w:val="2B3E1BA7"/>
    <w:rsid w:val="2CE47535"/>
    <w:rsid w:val="2E0F6AB2"/>
    <w:rsid w:val="2F4B46BC"/>
    <w:rsid w:val="310E053E"/>
    <w:rsid w:val="31C059C8"/>
    <w:rsid w:val="31DD5C99"/>
    <w:rsid w:val="32B71992"/>
    <w:rsid w:val="32F31FC7"/>
    <w:rsid w:val="347B56EB"/>
    <w:rsid w:val="36981F6B"/>
    <w:rsid w:val="36BF364F"/>
    <w:rsid w:val="3765386E"/>
    <w:rsid w:val="379B4569"/>
    <w:rsid w:val="37FA0E5D"/>
    <w:rsid w:val="38B235E6"/>
    <w:rsid w:val="3A021D85"/>
    <w:rsid w:val="3DEF19B3"/>
    <w:rsid w:val="3FCF135E"/>
    <w:rsid w:val="47346FEB"/>
    <w:rsid w:val="49AF5E88"/>
    <w:rsid w:val="4BAD002B"/>
    <w:rsid w:val="4C4F6B45"/>
    <w:rsid w:val="4CCF0A2F"/>
    <w:rsid w:val="50400777"/>
    <w:rsid w:val="55352739"/>
    <w:rsid w:val="56365ABB"/>
    <w:rsid w:val="5726485E"/>
    <w:rsid w:val="58836321"/>
    <w:rsid w:val="5EB07E5B"/>
    <w:rsid w:val="60BA5C20"/>
    <w:rsid w:val="63656916"/>
    <w:rsid w:val="648F3CFB"/>
    <w:rsid w:val="657A2BC4"/>
    <w:rsid w:val="68276161"/>
    <w:rsid w:val="6DB078A4"/>
    <w:rsid w:val="6DFD3EF7"/>
    <w:rsid w:val="6F830915"/>
    <w:rsid w:val="70545CFB"/>
    <w:rsid w:val="71410077"/>
    <w:rsid w:val="732B6E77"/>
    <w:rsid w:val="755D1D62"/>
    <w:rsid w:val="76021B3F"/>
    <w:rsid w:val="7A447CCB"/>
    <w:rsid w:val="7DBE2484"/>
    <w:rsid w:val="7EDD7E97"/>
    <w:rsid w:val="7FFFB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character" w:customStyle="1" w:styleId="9">
    <w:name w:val="fontstyle01"/>
    <w:basedOn w:val="6"/>
    <w:uiPriority w:val="0"/>
    <w:rPr>
      <w:rFonts w:ascii="LiberationMono" w:hAnsi="LiberationMono" w:eastAsia="LiberationMono" w:cs="LiberationMono"/>
      <w:color w:val="000000"/>
      <w:sz w:val="22"/>
      <w:szCs w:val="22"/>
    </w:rPr>
  </w:style>
  <w:style w:type="character" w:customStyle="1" w:styleId="10">
    <w:name w:val="fontstyle21"/>
    <w:basedOn w:val="6"/>
    <w:uiPriority w:val="0"/>
    <w:rPr>
      <w:rFonts w:ascii="LiberationMono-Italic" w:hAnsi="LiberationMono-Italic" w:eastAsia="LiberationMono-Italic" w:cs="LiberationMono-Italic"/>
      <w:i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177</Words>
  <Characters>1014</Characters>
  <Lines>8</Lines>
  <Paragraphs>2</Paragraphs>
  <TotalTime>24</TotalTime>
  <ScaleCrop>false</ScaleCrop>
  <LinksUpToDate>false</LinksUpToDate>
  <CharactersWithSpaces>1189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2018-04-30T04:40:00Z</dcterms:created>
  <dc:creator>User</dc:creator>
  <cp:lastModifiedBy>长沙-周思佳 </cp:lastModifiedBy>
  <dcterms:modified xsi:type="dcterms:W3CDTF">2020-11-09T12:43:24Z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