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FBB" w:rsidRDefault="006978ED">
      <w:r>
        <w:t>With the conditions specified in part (d), the balloon reaches a maximum altitude of 14,810 ft</w:t>
      </w:r>
      <w:bookmarkStart w:id="0" w:name="_GoBack"/>
      <w:bookmarkEnd w:id="0"/>
      <w:r>
        <w:t xml:space="preserve"> </w:t>
      </w:r>
    </w:p>
    <w:sectPr w:rsidR="00122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8ED"/>
    <w:rsid w:val="00122FBB"/>
    <w:rsid w:val="0069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16949"/>
  <w15:chartTrackingRefBased/>
  <w15:docId w15:val="{7010B397-333A-4075-8E31-BE6726B6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Moore</dc:creator>
  <cp:keywords/>
  <dc:description/>
  <cp:lastModifiedBy>Quentin Moore</cp:lastModifiedBy>
  <cp:revision>1</cp:revision>
  <dcterms:created xsi:type="dcterms:W3CDTF">2018-01-28T23:25:00Z</dcterms:created>
  <dcterms:modified xsi:type="dcterms:W3CDTF">2018-01-28T23:27:00Z</dcterms:modified>
</cp:coreProperties>
</file>