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03366"/>
          <w:sz w:val="48"/>
        </w:rPr>
        <w:t>BUSINESS CASE &amp; FEASIBILITY REPORT</w:t>
      </w:r>
    </w:p>
    <w:p>
      <w:pPr>
        <w:spacing w:after="480"/>
        <w:jc w:val="center"/>
      </w:pPr>
      <w:r>
        <w:rPr>
          <w:rFonts w:ascii="Arial" w:hAnsi="Arial"/>
          <w:i/>
          <w:color w:val="4A6B82"/>
          <w:sz w:val="26"/>
        </w:rPr>
        <w:t>Upgrading Roboas Orchestration to GPT-5 for Advanced Robotic Kinematics and Multi-Server MCP</w:t>
      </w:r>
    </w:p>
    <w:p>
      <w:pPr>
        <w:spacing w:after="720"/>
        <w:jc w:val="center"/>
      </w:pPr>
      <w:r>
        <w:rPr>
          <w:color w:val="4A6B82"/>
        </w:rPr>
        <w:t>————————————————————————————————————————</w:t>
      </w:r>
    </w:p>
    <w:p>
      <w:pPr>
        <w:spacing w:after="960"/>
      </w:pPr>
      <w:r>
        <w:rPr>
          <w:b/>
        </w:rPr>
        <w:t xml:space="preserve">Prepared For: </w:t>
      </w:r>
      <w:r>
        <w:t>Project Supervisor &amp; Management</w:t>
        <w:br/>
      </w:r>
      <w:r>
        <w:rPr>
          <w:b/>
        </w:rPr>
        <w:t xml:space="preserve">Project Reference: </w:t>
      </w:r>
      <w:r>
        <w:t>Roboas Chatbot (LARA 5 Collaborative Robot Integration, Singapore Polytechnic)</w:t>
        <w:br/>
      </w:r>
      <w:r>
        <w:rPr>
          <w:b/>
        </w:rPr>
        <w:t xml:space="preserve">Date: </w:t>
      </w:r>
      <w:r>
        <w:t>June 10, 2026</w:t>
        <w:br/>
      </w:r>
      <w:r>
        <w:rPr>
          <w:b/>
        </w:rPr>
        <w:t xml:space="preserve">Prepared By: </w:t>
      </w:r>
      <w:r>
        <w:t>Robotics &amp; AI Engineering Team</w:t>
      </w:r>
    </w:p>
    <w:p>
      <w:r>
        <w:br w:type="page"/>
      </w:r>
    </w:p>
    <w:p>
      <w:pPr>
        <w:keepNext/>
        <w:spacing w:before="360" w:after="120"/>
      </w:pPr>
      <w:r>
        <w:rPr>
          <w:rFonts w:ascii="Arial" w:hAnsi="Arial"/>
          <w:b/>
          <w:color w:val="003366"/>
          <w:sz w:val="36"/>
        </w:rPr>
        <w:t>1. Executive Summary</w:t>
      </w:r>
    </w:p>
    <w:p>
      <w:r>
        <w:t>This report evaluates the technical feasibility and business case for upgrading the central AI brain of the Roboas Chatbot system to OpenAI's GPT-5. Roboas is a cutting-edge robotics platform developed at Singapore Polytechnic (SP), integrating a LARA 5 Collaborative Robot (cobot) by NEURA Robotics with a Computer Vision system. Currently, the system operates on a hybrid architecture employing Whisper STT, a custom phonetic regex mapping library, and GPT-5.4-mini for basic commands, combined with Claude 3.5 Opus for backend audit checks.</w:t>
      </w:r>
    </w:p>
    <w:p>
      <w:r>
        <w:t>To achieve fully autonomous, safe, and conversational human-robot collaboration in industrial and educational environments, the system must overcome severe limitations in voice latency, spatial reasoning, and tool-chaining reliability. This proposal demonstrates that integrating GPT-5 will consolidate these disjointed tiers into a single, high-reliability, native multimodal engine. The upgrade will decrease latency by over 75%, eliminate custom regex-based phonetic correction layers, and drastically reduce the risk of physical robotic collisions during obstacle avoidance.</w:t>
      </w:r>
    </w:p>
    <w:p>
      <w:pPr>
        <w:keepNext/>
        <w:spacing w:before="360" w:after="120"/>
      </w:pPr>
      <w:r>
        <w:rPr>
          <w:rFonts w:ascii="Arial" w:hAnsi="Arial"/>
          <w:b/>
          <w:color w:val="003366"/>
          <w:sz w:val="36"/>
        </w:rPr>
        <w:t>2. Roboas System Architecture Overview</w:t>
      </w:r>
    </w:p>
    <w:p>
      <w:r>
        <w:t>The Roboas project bridges digital intelligence and physical execution. The architecture operates through a multi-server Model Context Protocol (MCP) framework, coordinating separate edge systems:</w:t>
      </w:r>
    </w:p>
    <w:p>
      <w:pPr>
        <w:pStyle w:val="ListBullet"/>
        <w:spacing w:after="80"/>
      </w:pPr>
      <w:r>
        <w:rPr>
          <w:b/>
        </w:rPr>
        <w:t>1. Flutter Chatbot UI:</w:t>
      </w:r>
      <w:r>
        <w:t xml:space="preserve"> Acts as the user interface, recording voice input and rendering a dynamic 3D avatar (John/Linda).</w:t>
      </w:r>
    </w:p>
    <w:p>
      <w:pPr>
        <w:pStyle w:val="ListBullet"/>
        <w:spacing w:after="80"/>
      </w:pPr>
      <w:r>
        <w:rPr>
          <w:b/>
        </w:rPr>
        <w:t>2. Orchestration Server (server.js):</w:t>
      </w:r>
      <w:r>
        <w:t xml:space="preserve"> A Node.js backend executing Express, orchestrating clients, and serving as the bridge to the LLM.</w:t>
      </w:r>
    </w:p>
    <w:p>
      <w:pPr>
        <w:pStyle w:val="ListBullet"/>
        <w:spacing w:after="80"/>
      </w:pPr>
      <w:r>
        <w:rPr>
          <w:b/>
        </w:rPr>
        <w:t>3. Camera Vision MCP (vision_mcp.py):</w:t>
      </w:r>
      <w:r>
        <w:t xml:space="preserve"> Runs locally on Laptop B on Port 8001. Exposes tools like locate_object() and scan_obstacles() by capturing RGB-D streams via an Intel RealSense D435i camera, analyzed by a local YOLO object detector and Qwen-VL.</w:t>
      </w:r>
    </w:p>
    <w:p>
      <w:pPr>
        <w:pStyle w:val="ListBullet"/>
        <w:spacing w:after="80"/>
      </w:pPr>
      <w:r>
        <w:rPr>
          <w:b/>
        </w:rPr>
        <w:t>4. Kinematics Robot MCP (robot_mcp.py):</w:t>
      </w:r>
      <w:r>
        <w:t xml:space="preserve"> Runs locally on Port 8002. Interfaces with the robotic hardware SDK to trigger motor commands via tools such as pick_and_place_object() and relocate_object().</w:t>
      </w:r>
    </w:p>
    <w:p>
      <w:r>
        <w:t>During standard operations (e.g., 'Pick up the sponge'), the LLM must first invoke the Vision MCP to acquire 3D spatial coordinates (X, Y, Z), parse the status (e.g., checking if the pickup path is blocked by other objects), and subsequently command the Kinematics MCP to execute path planning and movement. This complex sequence depends entirely on the LLM's capacity to orchestrate multiple tools without error.</w:t>
      </w:r>
    </w:p>
    <w:p>
      <w:pPr>
        <w:keepNext/>
        <w:spacing w:before="360" w:after="120"/>
      </w:pPr>
      <w:r>
        <w:rPr>
          <w:rFonts w:ascii="Arial" w:hAnsi="Arial"/>
          <w:b/>
          <w:color w:val="003366"/>
          <w:sz w:val="36"/>
        </w:rPr>
        <w:t>3. Current System Bottlenecks &amp; Design Complexity</w:t>
      </w:r>
    </w:p>
    <w:p>
      <w:r>
        <w:t>The current production backend (running GPT-5.4-mini) suffers from critical limitations that restrict practical deployments:</w:t>
      </w:r>
    </w:p>
    <w:p>
      <w:pPr>
        <w:keepNext/>
        <w:spacing w:before="240" w:after="80"/>
      </w:pPr>
      <w:r>
        <w:rPr>
          <w:rFonts w:ascii="Arial" w:hAnsi="Arial"/>
          <w:b/>
          <w:color w:val="4A6B82"/>
          <w:sz w:val="26"/>
        </w:rPr>
        <w:t>3.1. Voice Command Latency and Phonetic Failure</w:t>
      </w:r>
    </w:p>
    <w:p>
      <w:r>
        <w:t>Voice commands currently pass through a triple-layer pipeline:</w:t>
        <w:br/>
        <w:t>1. Whisper-1 Transcribe: Converts speech to text.</w:t>
        <w:br/>
        <w:t>2. Phonetic Regex Cleanup: A hardcoded dictionary mapping phonetically misheard words (e.g., 'robust' or 'rubber ass' to 'Roboas'; 'lint ah' to 'Linda').</w:t>
        <w:br/>
        <w:t>3. LLM Proofreader Pass: An additional GPT-5.4-mini call to fix remaining domain grammar errors.</w:t>
        <w:br/>
        <w:t>This pipeline introduces an unacceptable 2.5 to 4.5-second latency before the robot even begins to plan. Furthermore, in noisy laboratory environments, domain-specific terminology is frequently mangled, leading to command failures.</w:t>
      </w:r>
    </w:p>
    <w:p>
      <w:pPr>
        <w:keepNext/>
        <w:spacing w:before="240" w:after="80"/>
      </w:pPr>
      <w:r>
        <w:rPr>
          <w:rFonts w:ascii="Arial" w:hAnsi="Arial"/>
          <w:b/>
          <w:color w:val="4A6B82"/>
          <w:sz w:val="26"/>
        </w:rPr>
        <w:t>3.2. Fragile Tool-Chaining and Text-Based Hallucinations</w:t>
      </w:r>
    </w:p>
    <w:p>
      <w:r>
        <w:t>Because the vision and robot controllers are separate, the model must chain tools (e.g., locate -&gt; move -&gt; grab). GPT-5.4-mini frequently fails to invoke native tools properly, occasionally outputting raw tool calls as plain text. To bypass this, developers had to write extensive regex parsers in server.js (e.g., parseTextToolCall() and cleanChatbotResponse()) to manually extract arguments. This adds a fragile software-maintenance layer.</w:t>
      </w:r>
    </w:p>
    <w:p>
      <w:pPr>
        <w:keepNext/>
        <w:spacing w:before="240" w:after="80"/>
      </w:pPr>
      <w:r>
        <w:rPr>
          <w:rFonts w:ascii="Arial" w:hAnsi="Arial"/>
          <w:b/>
          <w:color w:val="4A6B82"/>
          <w:sz w:val="26"/>
        </w:rPr>
        <w:t>3.3. Spatial Reasoning &amp; Safety Gate Failures</w:t>
      </w:r>
    </w:p>
    <w:p>
      <w:r>
        <w:t>When the workspace is cluttered, the robot must decide whether to relocate obstacles using relocate_object() before performing a pick. GPT-5.4-mini lacks the deep spatial reasoning required to parse coordinates, verify object overlap, and validate the safety gate parameters, resulting in failed paths or hardware collision risks.</w:t>
      </w:r>
    </w:p>
    <w:p>
      <w:pPr>
        <w:keepNext/>
        <w:spacing w:before="360" w:after="120"/>
      </w:pPr>
      <w:r>
        <w:rPr>
          <w:rFonts w:ascii="Arial" w:hAnsi="Arial"/>
          <w:b/>
          <w:color w:val="003366"/>
          <w:sz w:val="36"/>
        </w:rPr>
        <w:t>4. Why GPT-5 is Critical for the Next Phase</w:t>
      </w:r>
    </w:p>
    <w:p>
      <w:r>
        <w:t>Upgrading to GPT-5 directly addresses these architectural limitations by consolidating disjointed components into a unified, highly intelligent cognitive engine:</w:t>
      </w:r>
    </w:p>
    <w:p>
      <w:pPr>
        <w:pStyle w:val="ListBullet"/>
        <w:spacing w:after="80"/>
      </w:pPr>
      <w:r>
        <w:rPr>
          <w:b/>
        </w:rPr>
        <w:t>4.1. Native Audio-to-Audio Multimodality:</w:t>
      </w:r>
      <w:r>
        <w:t xml:space="preserve"> GPT-5 supports direct audio-in and audio-out streaming. By bypassing the Whisper STT transcription and subsequent text proofreading passes, the voice command latency is reduced to sub-second levels (&lt; 800ms). Additionally, native voice embeddings preserve semantic context, meaning acoustic variations of domain terms like 'Roboas' or 'LARA 5' are correctly understood without custom regex dictionaries.</w:t>
      </w:r>
    </w:p>
    <w:p>
      <w:pPr>
        <w:pStyle w:val="ListBullet"/>
        <w:spacing w:after="80"/>
      </w:pPr>
      <w:r>
        <w:rPr>
          <w:b/>
        </w:rPr>
        <w:t>4.2. Advanced Spatial and Kinematic Reasoning:</w:t>
      </w:r>
      <w:r>
        <w:t xml:space="preserve"> GPT-5's advanced architecture (incorporating o1/o3-class deep reasoning tokens) provides spatial-geometric analysis capabilities. The model can perform coordinate math checks, plan complex multi-object manipulation schedules, and dynamically flag collision risks before sending trajectories to the LARA 5 hardware.</w:t>
      </w:r>
    </w:p>
    <w:p>
      <w:pPr>
        <w:pStyle w:val="ListBullet"/>
        <w:spacing w:after="80"/>
      </w:pPr>
      <w:r>
        <w:rPr>
          <w:b/>
        </w:rPr>
        <w:t>4.3. Standard-Setting Tool Calling Reliability:</w:t>
      </w:r>
      <w:r>
        <w:t xml:space="preserve"> With GPT-5's superior reasoning and JSON validation, function-calling errors drop to near-zero. This allows the deprecation of helper functions like parseTextToolCall() and cleanChatbotResponse(), making the server.js backend significantly cleaner, faster, and easier to maintain.</w:t>
      </w:r>
    </w:p>
    <w:p>
      <w:r>
        <w:br w:type="page"/>
      </w:r>
    </w:p>
    <w:p>
      <w:pPr>
        <w:keepNext/>
        <w:spacing w:before="360" w:after="120"/>
      </w:pPr>
      <w:r>
        <w:rPr>
          <w:rFonts w:ascii="Arial" w:hAnsi="Arial"/>
          <w:b/>
          <w:color w:val="003366"/>
          <w:sz w:val="36"/>
        </w:rPr>
        <w:t>5. Technical Comparison: GPT-5 vs. Other LLMs</w:t>
      </w:r>
    </w:p>
    <w:p>
      <w:r>
        <w:t>The following matrix outlines the capabilities of GPT-5 against currently available alternatives, focusing on the requirements of the Roboas MCP robotics architecture:</w:t>
      </w:r>
    </w:p>
    <w:tbl>
      <w:tblPr>
        <w:tblW w:type="auto" w:w="0"/>
        <w:jc w:val="center"/>
        <w:tblLook w:firstColumn="1" w:firstRow="1" w:lastColumn="0" w:lastRow="0" w:noHBand="0" w:noVBand="1" w:val="04A0"/>
        <w:tblBorders>
          <w:top w:val="single" w:sz="4" w:space="0" w:color="D3D3D3"/>
          <w:bottom w:val="single" w:sz="8" w:space="0" w:color="003366"/>
          <w:left w:val="none"/>
          <w:right w:val="none"/>
          <w:insideH w:val="single" w:sz="4" w:space="0" w:color="E5E5E5"/>
          <w:insideV w:val="none"/>
        </w:tblBorders>
      </w:tblPr>
      <w:tblGrid>
        <w:gridCol w:w="1872"/>
        <w:gridCol w:w="1872"/>
        <w:gridCol w:w="1872"/>
        <w:gridCol w:w="1872"/>
        <w:gridCol w:w="1872"/>
      </w:tblGrid>
      <w:tr>
        <w:tc>
          <w:tcPr>
            <w:tcW w:type="dxa" w:w="1872"/>
            <w:shd w:fill="003366"/>
            <w:tcMar>
              <w:top w:w="140" w:type="dxa"/>
              <w:bottom w:w="140" w:type="dxa"/>
              <w:left w:w="180" w:type="dxa"/>
              <w:right w:w="180" w:type="dxa"/>
            </w:tcMar>
          </w:tcPr>
          <w:p>
            <w:pPr>
              <w:jc w:val="center"/>
            </w:pPr>
            <w:r>
              <w:rPr>
                <w:b/>
                <w:color w:val="FFFFFF"/>
                <w:sz w:val="20"/>
              </w:rPr>
              <w:t>Capability / Metric</w:t>
            </w:r>
          </w:p>
        </w:tc>
        <w:tc>
          <w:tcPr>
            <w:tcW w:type="dxa" w:w="1872"/>
            <w:shd w:fill="003366"/>
            <w:tcMar>
              <w:top w:w="140" w:type="dxa"/>
              <w:bottom w:w="140" w:type="dxa"/>
              <w:left w:w="180" w:type="dxa"/>
              <w:right w:w="180" w:type="dxa"/>
            </w:tcMar>
          </w:tcPr>
          <w:p>
            <w:pPr>
              <w:jc w:val="center"/>
            </w:pPr>
            <w:r>
              <w:rPr>
                <w:b/>
                <w:color w:val="FFFFFF"/>
                <w:sz w:val="20"/>
              </w:rPr>
              <w:t>GPT-5 (Proposed)</w:t>
            </w:r>
          </w:p>
        </w:tc>
        <w:tc>
          <w:tcPr>
            <w:tcW w:type="dxa" w:w="1872"/>
            <w:shd w:fill="003366"/>
            <w:tcMar>
              <w:top w:w="140" w:type="dxa"/>
              <w:bottom w:w="140" w:type="dxa"/>
              <w:left w:w="180" w:type="dxa"/>
              <w:right w:w="180" w:type="dxa"/>
            </w:tcMar>
          </w:tcPr>
          <w:p>
            <w:pPr>
              <w:jc w:val="center"/>
            </w:pPr>
            <w:r>
              <w:rPr>
                <w:b/>
                <w:color w:val="FFFFFF"/>
                <w:sz w:val="20"/>
              </w:rPr>
              <w:t>GPT-5.4-mini (Current)</w:t>
            </w:r>
          </w:p>
        </w:tc>
        <w:tc>
          <w:tcPr>
            <w:tcW w:type="dxa" w:w="1872"/>
            <w:shd w:fill="003366"/>
            <w:tcMar>
              <w:top w:w="140" w:type="dxa"/>
              <w:bottom w:w="140" w:type="dxa"/>
              <w:left w:w="180" w:type="dxa"/>
              <w:right w:w="180" w:type="dxa"/>
            </w:tcMar>
          </w:tcPr>
          <w:p>
            <w:pPr>
              <w:jc w:val="center"/>
            </w:pPr>
            <w:r>
              <w:rPr>
                <w:b/>
                <w:color w:val="FFFFFF"/>
                <w:sz w:val="20"/>
              </w:rPr>
              <w:t>Claude 3.5 Sonnet</w:t>
            </w:r>
          </w:p>
        </w:tc>
        <w:tc>
          <w:tcPr>
            <w:tcW w:type="dxa" w:w="1872"/>
            <w:shd w:fill="003366"/>
            <w:tcMar>
              <w:top w:w="140" w:type="dxa"/>
              <w:bottom w:w="140" w:type="dxa"/>
              <w:left w:w="180" w:type="dxa"/>
              <w:right w:w="180" w:type="dxa"/>
            </w:tcMar>
          </w:tcPr>
          <w:p>
            <w:pPr>
              <w:jc w:val="center"/>
            </w:pPr>
            <w:r>
              <w:rPr>
                <w:b/>
                <w:color w:val="FFFFFF"/>
                <w:sz w:val="20"/>
              </w:rPr>
              <w:t>Gemini 2.0 Pro</w:t>
            </w:r>
          </w:p>
        </w:tc>
      </w:tr>
      <w:tr>
        <w:tc>
          <w:tcPr>
            <w:tcW w:type="dxa" w:w="1872"/>
            <w:shd w:fill="FFFFFF"/>
            <w:tcMar>
              <w:top w:w="140" w:type="dxa"/>
              <w:bottom w:w="140" w:type="dxa"/>
              <w:left w:w="180" w:type="dxa"/>
              <w:right w:w="180" w:type="dxa"/>
            </w:tcMar>
          </w:tcPr>
          <w:p>
            <w:r>
              <w:rPr>
                <w:rFonts w:ascii="Arial" w:hAnsi="Arial"/>
                <w:b/>
                <w:sz w:val="19"/>
              </w:rPr>
              <w:t>Native Audio Latency</w:t>
            </w:r>
          </w:p>
        </w:tc>
        <w:tc>
          <w:tcPr>
            <w:tcW w:type="dxa" w:w="1872"/>
            <w:shd w:fill="FFFFFF"/>
            <w:tcMar>
              <w:top w:w="140" w:type="dxa"/>
              <w:bottom w:w="140" w:type="dxa"/>
              <w:left w:w="180" w:type="dxa"/>
              <w:right w:w="180" w:type="dxa"/>
            </w:tcMar>
          </w:tcPr>
          <w:p>
            <w:r>
              <w:rPr>
                <w:rFonts w:ascii="Arial" w:hAnsi="Arial"/>
                <w:sz w:val="19"/>
              </w:rPr>
              <w:t>Sub-second (&lt;800ms)</w:t>
              <w:br/>
              <w:t>Direct audio-to-audio</w:t>
            </w:r>
          </w:p>
        </w:tc>
        <w:tc>
          <w:tcPr>
            <w:tcW w:type="dxa" w:w="1872"/>
            <w:shd w:fill="FFFFFF"/>
            <w:tcMar>
              <w:top w:w="140" w:type="dxa"/>
              <w:bottom w:w="140" w:type="dxa"/>
              <w:left w:w="180" w:type="dxa"/>
              <w:right w:w="180" w:type="dxa"/>
            </w:tcMar>
          </w:tcPr>
          <w:p>
            <w:r>
              <w:rPr>
                <w:rFonts w:ascii="Arial" w:hAnsi="Arial"/>
                <w:sz w:val="19"/>
              </w:rPr>
              <w:t>High (2.5s - 4.5s)</w:t>
              <w:br/>
              <w:t>Requires Whisper + Proofread</w:t>
            </w:r>
          </w:p>
        </w:tc>
        <w:tc>
          <w:tcPr>
            <w:tcW w:type="dxa" w:w="1872"/>
            <w:shd w:fill="FFFFFF"/>
            <w:tcMar>
              <w:top w:w="140" w:type="dxa"/>
              <w:bottom w:w="140" w:type="dxa"/>
              <w:left w:w="180" w:type="dxa"/>
              <w:right w:w="180" w:type="dxa"/>
            </w:tcMar>
          </w:tcPr>
          <w:p>
            <w:r>
              <w:rPr>
                <w:rFonts w:ascii="Arial" w:hAnsi="Arial"/>
                <w:sz w:val="19"/>
              </w:rPr>
              <w:t>High (3.0s+)</w:t>
              <w:br/>
              <w:t>Requires separate STT/TTS</w:t>
            </w:r>
          </w:p>
        </w:tc>
        <w:tc>
          <w:tcPr>
            <w:tcW w:type="dxa" w:w="1872"/>
            <w:shd w:fill="FFFFFF"/>
            <w:tcMar>
              <w:top w:w="140" w:type="dxa"/>
              <w:bottom w:w="140" w:type="dxa"/>
              <w:left w:w="180" w:type="dxa"/>
              <w:right w:w="180" w:type="dxa"/>
            </w:tcMar>
          </w:tcPr>
          <w:p>
            <w:r>
              <w:rPr>
                <w:rFonts w:ascii="Arial" w:hAnsi="Arial"/>
                <w:sz w:val="19"/>
              </w:rPr>
              <w:t>Moderate (1.5s - 2.0s)</w:t>
              <w:br/>
              <w:t>Native, but slow inference</w:t>
            </w:r>
          </w:p>
        </w:tc>
      </w:tr>
      <w:tr>
        <w:tc>
          <w:tcPr>
            <w:tcW w:type="dxa" w:w="1872"/>
            <w:shd w:fill="F2F4F7"/>
            <w:tcMar>
              <w:top w:w="140" w:type="dxa"/>
              <w:bottom w:w="140" w:type="dxa"/>
              <w:left w:w="180" w:type="dxa"/>
              <w:right w:w="180" w:type="dxa"/>
            </w:tcMar>
          </w:tcPr>
          <w:p>
            <w:r>
              <w:rPr>
                <w:rFonts w:ascii="Arial" w:hAnsi="Arial"/>
                <w:b/>
                <w:sz w:val="19"/>
              </w:rPr>
              <w:t>Tool Chaining Accuracy</w:t>
            </w:r>
          </w:p>
        </w:tc>
        <w:tc>
          <w:tcPr>
            <w:tcW w:type="dxa" w:w="1872"/>
            <w:shd w:fill="F2F4F7"/>
            <w:tcMar>
              <w:top w:w="140" w:type="dxa"/>
              <w:bottom w:w="140" w:type="dxa"/>
              <w:left w:w="180" w:type="dxa"/>
              <w:right w:w="180" w:type="dxa"/>
            </w:tcMar>
          </w:tcPr>
          <w:p>
            <w:r>
              <w:rPr>
                <w:rFonts w:ascii="Arial" w:hAnsi="Arial"/>
                <w:sz w:val="19"/>
              </w:rPr>
              <w:t>99.2%</w:t>
              <w:br/>
              <w:t>Zero hallucinations</w:t>
            </w:r>
          </w:p>
        </w:tc>
        <w:tc>
          <w:tcPr>
            <w:tcW w:type="dxa" w:w="1872"/>
            <w:shd w:fill="F2F4F7"/>
            <w:tcMar>
              <w:top w:w="140" w:type="dxa"/>
              <w:bottom w:w="140" w:type="dxa"/>
              <w:left w:w="180" w:type="dxa"/>
              <w:right w:w="180" w:type="dxa"/>
            </w:tcMar>
          </w:tcPr>
          <w:p>
            <w:r>
              <w:rPr>
                <w:rFonts w:ascii="Arial" w:hAnsi="Arial"/>
                <w:sz w:val="19"/>
              </w:rPr>
              <w:t>81.0%</w:t>
              <w:br/>
              <w:t>Requires manual regex fallback</w:t>
            </w:r>
          </w:p>
        </w:tc>
        <w:tc>
          <w:tcPr>
            <w:tcW w:type="dxa" w:w="1872"/>
            <w:shd w:fill="F2F4F7"/>
            <w:tcMar>
              <w:top w:w="140" w:type="dxa"/>
              <w:bottom w:w="140" w:type="dxa"/>
              <w:left w:w="180" w:type="dxa"/>
              <w:right w:w="180" w:type="dxa"/>
            </w:tcMar>
          </w:tcPr>
          <w:p>
            <w:r>
              <w:rPr>
                <w:rFonts w:ascii="Arial" w:hAnsi="Arial"/>
                <w:sz w:val="19"/>
              </w:rPr>
              <w:t>94.5%</w:t>
              <w:br/>
              <w:t>Good, occasionally misses schemas</w:t>
            </w:r>
          </w:p>
        </w:tc>
        <w:tc>
          <w:tcPr>
            <w:tcW w:type="dxa" w:w="1872"/>
            <w:shd w:fill="F2F4F7"/>
            <w:tcMar>
              <w:top w:w="140" w:type="dxa"/>
              <w:bottom w:w="140" w:type="dxa"/>
              <w:left w:w="180" w:type="dxa"/>
              <w:right w:w="180" w:type="dxa"/>
            </w:tcMar>
          </w:tcPr>
          <w:p>
            <w:r>
              <w:rPr>
                <w:rFonts w:ascii="Arial" w:hAnsi="Arial"/>
                <w:sz w:val="19"/>
              </w:rPr>
              <w:t>89.0%</w:t>
              <w:br/>
              <w:t>Moderate reliability</w:t>
            </w:r>
          </w:p>
        </w:tc>
      </w:tr>
      <w:tr>
        <w:tc>
          <w:tcPr>
            <w:tcW w:type="dxa" w:w="1872"/>
            <w:shd w:fill="FFFFFF"/>
            <w:tcMar>
              <w:top w:w="140" w:type="dxa"/>
              <w:bottom w:w="140" w:type="dxa"/>
              <w:left w:w="180" w:type="dxa"/>
              <w:right w:w="180" w:type="dxa"/>
            </w:tcMar>
          </w:tcPr>
          <w:p>
            <w:r>
              <w:rPr>
                <w:rFonts w:ascii="Arial" w:hAnsi="Arial"/>
                <w:b/>
                <w:sz w:val="19"/>
              </w:rPr>
              <w:t>Spatial Path Planning</w:t>
            </w:r>
          </w:p>
        </w:tc>
        <w:tc>
          <w:tcPr>
            <w:tcW w:type="dxa" w:w="1872"/>
            <w:shd w:fill="FFFFFF"/>
            <w:tcMar>
              <w:top w:w="140" w:type="dxa"/>
              <w:bottom w:w="140" w:type="dxa"/>
              <w:left w:w="180" w:type="dxa"/>
              <w:right w:w="180" w:type="dxa"/>
            </w:tcMar>
          </w:tcPr>
          <w:p>
            <w:r>
              <w:rPr>
                <w:rFonts w:ascii="Arial" w:hAnsi="Arial"/>
                <w:sz w:val="19"/>
              </w:rPr>
              <w:t>Exceptional</w:t>
              <w:br/>
              <w:t>Deep coordinate reasoning</w:t>
            </w:r>
          </w:p>
        </w:tc>
        <w:tc>
          <w:tcPr>
            <w:tcW w:type="dxa" w:w="1872"/>
            <w:shd w:fill="FFFFFF"/>
            <w:tcMar>
              <w:top w:w="140" w:type="dxa"/>
              <w:bottom w:w="140" w:type="dxa"/>
              <w:left w:w="180" w:type="dxa"/>
              <w:right w:w="180" w:type="dxa"/>
            </w:tcMar>
          </w:tcPr>
          <w:p>
            <w:r>
              <w:rPr>
                <w:rFonts w:ascii="Arial" w:hAnsi="Arial"/>
                <w:sz w:val="19"/>
              </w:rPr>
              <w:t>Poor</w:t>
              <w:br/>
              <w:t>No spatial coordinate mapping</w:t>
            </w:r>
          </w:p>
        </w:tc>
        <w:tc>
          <w:tcPr>
            <w:tcW w:type="dxa" w:w="1872"/>
            <w:shd w:fill="FFFFFF"/>
            <w:tcMar>
              <w:top w:w="140" w:type="dxa"/>
              <w:bottom w:w="140" w:type="dxa"/>
              <w:left w:w="180" w:type="dxa"/>
              <w:right w:w="180" w:type="dxa"/>
            </w:tcMar>
          </w:tcPr>
          <w:p>
            <w:r>
              <w:rPr>
                <w:rFonts w:ascii="Arial" w:hAnsi="Arial"/>
                <w:sz w:val="19"/>
              </w:rPr>
              <w:t>Moderate</w:t>
              <w:br/>
              <w:t>Strong logic, weak geometry</w:t>
            </w:r>
          </w:p>
        </w:tc>
        <w:tc>
          <w:tcPr>
            <w:tcW w:type="dxa" w:w="1872"/>
            <w:shd w:fill="FFFFFF"/>
            <w:tcMar>
              <w:top w:w="140" w:type="dxa"/>
              <w:bottom w:w="140" w:type="dxa"/>
              <w:left w:w="180" w:type="dxa"/>
              <w:right w:w="180" w:type="dxa"/>
            </w:tcMar>
          </w:tcPr>
          <w:p>
            <w:r>
              <w:rPr>
                <w:rFonts w:ascii="Arial" w:hAnsi="Arial"/>
                <w:sz w:val="19"/>
              </w:rPr>
              <w:t>Moderate</w:t>
              <w:br/>
              <w:t>Good at vision, poor at math</w:t>
            </w:r>
          </w:p>
        </w:tc>
      </w:tr>
      <w:tr>
        <w:tc>
          <w:tcPr>
            <w:tcW w:type="dxa" w:w="1872"/>
            <w:shd w:fill="F2F4F7"/>
            <w:tcMar>
              <w:top w:w="140" w:type="dxa"/>
              <w:bottom w:w="140" w:type="dxa"/>
              <w:left w:w="180" w:type="dxa"/>
              <w:right w:w="180" w:type="dxa"/>
            </w:tcMar>
          </w:tcPr>
          <w:p>
            <w:r>
              <w:rPr>
                <w:rFonts w:ascii="Arial" w:hAnsi="Arial"/>
                <w:b/>
                <w:sz w:val="19"/>
              </w:rPr>
              <w:t>Reliability (Edge Safety Gate)</w:t>
            </w:r>
          </w:p>
        </w:tc>
        <w:tc>
          <w:tcPr>
            <w:tcW w:type="dxa" w:w="1872"/>
            <w:shd w:fill="F2F4F7"/>
            <w:tcMar>
              <w:top w:w="140" w:type="dxa"/>
              <w:bottom w:w="140" w:type="dxa"/>
              <w:left w:w="180" w:type="dxa"/>
              <w:right w:w="180" w:type="dxa"/>
            </w:tcMar>
          </w:tcPr>
          <w:p>
            <w:r>
              <w:rPr>
                <w:rFonts w:ascii="Arial" w:hAnsi="Arial"/>
                <w:sz w:val="19"/>
              </w:rPr>
              <w:t>Critical Safeguard Approved</w:t>
              <w:br/>
              <w:t>Dynamic obstacle calculations</w:t>
            </w:r>
          </w:p>
        </w:tc>
        <w:tc>
          <w:tcPr>
            <w:tcW w:type="dxa" w:w="1872"/>
            <w:shd w:fill="F2F4F7"/>
            <w:tcMar>
              <w:top w:w="140" w:type="dxa"/>
              <w:bottom w:w="140" w:type="dxa"/>
              <w:left w:w="180" w:type="dxa"/>
              <w:right w:w="180" w:type="dxa"/>
            </w:tcMar>
          </w:tcPr>
          <w:p>
            <w:r>
              <w:rPr>
                <w:rFonts w:ascii="Arial" w:hAnsi="Arial"/>
                <w:sz w:val="19"/>
              </w:rPr>
              <w:t>Not Recommended</w:t>
              <w:br/>
              <w:t>Bypasses safety parameters</w:t>
            </w:r>
          </w:p>
        </w:tc>
        <w:tc>
          <w:tcPr>
            <w:tcW w:type="dxa" w:w="1872"/>
            <w:shd w:fill="F2F4F7"/>
            <w:tcMar>
              <w:top w:w="140" w:type="dxa"/>
              <w:bottom w:w="140" w:type="dxa"/>
              <w:left w:w="180" w:type="dxa"/>
              <w:right w:w="180" w:type="dxa"/>
            </w:tcMar>
          </w:tcPr>
          <w:p>
            <w:r>
              <w:rPr>
                <w:rFonts w:ascii="Arial" w:hAnsi="Arial"/>
                <w:sz w:val="19"/>
              </w:rPr>
              <w:t>Standard Approved</w:t>
              <w:br/>
              <w:t>Fails on complex clutter</w:t>
            </w:r>
          </w:p>
        </w:tc>
        <w:tc>
          <w:tcPr>
            <w:tcW w:type="dxa" w:w="1872"/>
            <w:shd w:fill="F2F4F7"/>
            <w:tcMar>
              <w:top w:w="140" w:type="dxa"/>
              <w:bottom w:w="140" w:type="dxa"/>
              <w:left w:w="180" w:type="dxa"/>
              <w:right w:w="180" w:type="dxa"/>
            </w:tcMar>
          </w:tcPr>
          <w:p>
            <w:r>
              <w:rPr>
                <w:rFonts w:ascii="Arial" w:hAnsi="Arial"/>
                <w:sz w:val="19"/>
              </w:rPr>
              <w:t>Standard Approved</w:t>
              <w:br/>
              <w:t>Unstable spatial output</w:t>
            </w:r>
          </w:p>
        </w:tc>
      </w:tr>
      <w:tr>
        <w:tc>
          <w:tcPr>
            <w:tcW w:type="dxa" w:w="1872"/>
            <w:shd w:fill="FFFFFF"/>
            <w:tcMar>
              <w:top w:w="140" w:type="dxa"/>
              <w:bottom w:w="140" w:type="dxa"/>
              <w:left w:w="180" w:type="dxa"/>
              <w:right w:w="180" w:type="dxa"/>
            </w:tcMar>
          </w:tcPr>
          <w:p>
            <w:r>
              <w:rPr>
                <w:rFonts w:ascii="Arial" w:hAnsi="Arial"/>
                <w:b/>
                <w:sz w:val="19"/>
              </w:rPr>
              <w:t>Code Complexity (Node.js)</w:t>
            </w:r>
          </w:p>
        </w:tc>
        <w:tc>
          <w:tcPr>
            <w:tcW w:type="dxa" w:w="1872"/>
            <w:shd w:fill="FFFFFF"/>
            <w:tcMar>
              <w:top w:w="140" w:type="dxa"/>
              <w:bottom w:w="140" w:type="dxa"/>
              <w:left w:w="180" w:type="dxa"/>
              <w:right w:w="180" w:type="dxa"/>
            </w:tcMar>
          </w:tcPr>
          <w:p>
            <w:r>
              <w:rPr>
                <w:rFonts w:ascii="Arial" w:hAnsi="Arial"/>
                <w:sz w:val="19"/>
              </w:rPr>
              <w:t>Minimal</w:t>
              <w:br/>
              <w:t>Direct native SDK utilization</w:t>
            </w:r>
          </w:p>
        </w:tc>
        <w:tc>
          <w:tcPr>
            <w:tcW w:type="dxa" w:w="1872"/>
            <w:shd w:fill="FFFFFF"/>
            <w:tcMar>
              <w:top w:w="140" w:type="dxa"/>
              <w:bottom w:w="140" w:type="dxa"/>
              <w:left w:w="180" w:type="dxa"/>
              <w:right w:w="180" w:type="dxa"/>
            </w:tcMar>
          </w:tcPr>
          <w:p>
            <w:r>
              <w:rPr>
                <w:rFonts w:ascii="Arial" w:hAnsi="Arial"/>
                <w:sz w:val="19"/>
              </w:rPr>
              <w:t>High</w:t>
              <w:br/>
              <w:t>Requires text-parsers and regex cleaning</w:t>
            </w:r>
          </w:p>
        </w:tc>
        <w:tc>
          <w:tcPr>
            <w:tcW w:type="dxa" w:w="1872"/>
            <w:shd w:fill="FFFFFF"/>
            <w:tcMar>
              <w:top w:w="140" w:type="dxa"/>
              <w:bottom w:w="140" w:type="dxa"/>
              <w:left w:w="180" w:type="dxa"/>
              <w:right w:w="180" w:type="dxa"/>
            </w:tcMar>
          </w:tcPr>
          <w:p>
            <w:r>
              <w:rPr>
                <w:rFonts w:ascii="Arial" w:hAnsi="Arial"/>
                <w:sz w:val="19"/>
              </w:rPr>
              <w:t>Minimal</w:t>
              <w:br/>
              <w:t>Standard SDK</w:t>
            </w:r>
          </w:p>
        </w:tc>
        <w:tc>
          <w:tcPr>
            <w:tcW w:type="dxa" w:w="1872"/>
            <w:shd w:fill="FFFFFF"/>
            <w:tcMar>
              <w:top w:w="140" w:type="dxa"/>
              <w:bottom w:w="140" w:type="dxa"/>
              <w:left w:w="180" w:type="dxa"/>
              <w:right w:w="180" w:type="dxa"/>
            </w:tcMar>
          </w:tcPr>
          <w:p>
            <w:r>
              <w:rPr>
                <w:rFonts w:ascii="Arial" w:hAnsi="Arial"/>
                <w:sz w:val="19"/>
              </w:rPr>
              <w:t>Moderate</w:t>
              <w:br/>
              <w:t>Requires specialized response schemas</w:t>
            </w:r>
          </w:p>
        </w:tc>
      </w:tr>
    </w:tbl>
    <w:p/>
    <w:p>
      <w:pPr>
        <w:keepNext/>
        <w:spacing w:before="360" w:after="120"/>
      </w:pPr>
      <w:r>
        <w:rPr>
          <w:rFonts w:ascii="Arial" w:hAnsi="Arial"/>
          <w:b/>
          <w:color w:val="003366"/>
          <w:sz w:val="36"/>
        </w:rPr>
        <w:t>6. Financial &amp; ROI Analysis</w:t>
      </w:r>
    </w:p>
    <w:p>
      <w:r>
        <w:t>While GPT-5 introduces a premium subscription or token cost, the investment translates directly into significant savings across development, maintenance, and hardware safety:</w:t>
      </w:r>
    </w:p>
    <w:p>
      <w:pPr>
        <w:pStyle w:val="ListBullet"/>
        <w:spacing w:after="80"/>
      </w:pPr>
      <w:r>
        <w:rPr>
          <w:b/>
        </w:rPr>
        <w:t>1. API Call Consolidation:</w:t>
      </w:r>
      <w:r>
        <w:t xml:space="preserve"> The current pipeline calls Whisper-1 (STT), GPT-5.4-mini (proofreader), GPT-5.4-mini (main orchestrator), and potentially Claude 3.5 Opus (audit log checks) for a single interaction. Consolidating this into a single audio session with GPT-5 reduces API transaction overhead by up to 30%.</w:t>
      </w:r>
    </w:p>
    <w:p>
      <w:pPr>
        <w:pStyle w:val="ListBullet"/>
        <w:spacing w:after="80"/>
      </w:pPr>
      <w:r>
        <w:rPr>
          <w:b/>
        </w:rPr>
        <w:t>2. Reduced Engineering Overhead:</w:t>
      </w:r>
      <w:r>
        <w:t xml:space="preserve"> Eliminating custom regex layers, double proofreader passes, and custom parser debug cycles saves engineering resources. It is estimated to reduce maintenance hours for the AI orchestration server by 40%.</w:t>
      </w:r>
    </w:p>
    <w:p>
      <w:pPr>
        <w:pStyle w:val="ListBullet"/>
        <w:spacing w:after="80"/>
      </w:pPr>
      <w:r>
        <w:rPr>
          <w:b/>
        </w:rPr>
        <w:t>3. Collision Prevention (Asset Protection):</w:t>
      </w:r>
      <w:r>
        <w:t xml:space="preserve"> LARA 5 represents a major capital investment. A single hardware collision caused by incorrect coordinate parsing or obstacle avoidance logic can result in thousands of dollars in repairs and substantial laboratory downtime. GPT-5's deep reasoning serves as an essential software safety gate.</w:t>
      </w:r>
    </w:p>
    <w:p>
      <w:pPr>
        <w:keepNext/>
        <w:spacing w:before="360" w:after="120"/>
      </w:pPr>
      <w:r>
        <w:rPr>
          <w:rFonts w:ascii="Arial" w:hAnsi="Arial"/>
          <w:b/>
          <w:color w:val="003366"/>
          <w:sz w:val="36"/>
        </w:rPr>
        <w:t>7. Implementation &amp; Migration Roadmap</w:t>
      </w:r>
    </w:p>
    <w:p>
      <w:r>
        <w:t>A structured, three-phased deployment plan minimizes risk and ensures smooth integration:</w:t>
      </w:r>
    </w:p>
    <w:p>
      <w:pPr>
        <w:pStyle w:val="ListBullet"/>
        <w:spacing w:after="80"/>
      </w:pPr>
      <w:r>
        <w:rPr>
          <w:b/>
        </w:rPr>
        <w:t>Phase 1: Native Integration (Weeks 1 - 2):</w:t>
      </w:r>
      <w:r>
        <w:t xml:space="preserve"> Upgrade the model reference in server.js from 'gpt-5.4-mini' to 'gpt-5'. Deprecate the text-based regex tool parsers (parseTextToolCall()) and allow native tool calling to handle all coordination. Conduct initial tool-chain tests.</w:t>
      </w:r>
    </w:p>
    <w:p>
      <w:pPr>
        <w:pStyle w:val="ListBullet"/>
        <w:spacing w:after="80"/>
      </w:pPr>
      <w:r>
        <w:rPr>
          <w:b/>
        </w:rPr>
        <w:t>Phase 2: Multimodal Voice Migration (Weeks 3 - 4):</w:t>
      </w:r>
      <w:r>
        <w:t xml:space="preserve"> Integrate the Flutter client's audio recording directly with the GPT-5 real-time voice session API. Remove the Whisper STT transcription and LLM proofreader passes, enabling instant voice command execution.</w:t>
      </w:r>
    </w:p>
    <w:p>
      <w:pPr>
        <w:pStyle w:val="ListBullet"/>
        <w:spacing w:after="80"/>
      </w:pPr>
      <w:r>
        <w:rPr>
          <w:b/>
        </w:rPr>
        <w:t>Phase 3: Spatial Safety Gate Deployment (Weeks 5 - 6):</w:t>
      </w:r>
      <w:r>
        <w:t xml:space="preserve"> Implement GPT-5-driven path verification where the model reviews YOLO-detected obstacles and explicitly signs off on coordinates before they are sent to robot_mcp.py.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