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sectPr w:rsidR="00FC693F" w:rsidRPr="0006063C" w:rsidSect="00034616">
      <w:headerReference w:type="default" r:id="rId9"/>
      <w:footerReference w:type="default" r:id="rId10"/>
      <w:pgSz w:w="12240" w:h="15840"/>
      <w:pgMar w:top="2304" w:right="1440" w:bottom="1728" w:left="1440" w:header="648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center"/>
      <w:pBdr>
        <w:top w:val="single" w:sz="12" w:space="6" w:color="1696BE"/>
      </w:pBdr>
    </w:pPr>
    <w:r/>
    <w:r>
      <w:rPr>
        <w:rFonts w:ascii="Arial" w:hAnsi="Arial"/>
        <w:color w:val="48555F"/>
        <w:sz w:val="17"/>
      </w:rPr>
      <w:t>Qunit Technologies Pvt Ltd  |  B-7, 1st Floor, Sector-2, Noida, Uttar Pradesh 201301, India</w:t>
    </w:r>
  </w:p>
  <w:p>
    <w:pPr>
      <w:spacing w:before="0" w:after="20"/>
      <w:jc w:val="center"/>
    </w:pPr>
    <w:r>
      <w:rPr>
        <w:rFonts w:ascii="Arial" w:hAnsi="Arial"/>
        <w:color w:val="48555F"/>
        <w:sz w:val="17"/>
      </w:rPr>
      <w:t>+91 78279 61018   |   Help@qunittech.com   |   www.qunittech.com</w:t>
    </w:r>
  </w:p>
  <w:p>
    <w:pPr>
      <w:spacing w:before="0" w:after="20"/>
      <w:jc w:val="center"/>
    </w:pPr>
    <w:r>
      <w:rPr>
        <w:rFonts w:ascii="Arial" w:hAnsi="Arial"/>
        <w:color w:val="6B7683"/>
        <w:sz w:val="16"/>
      </w:rPr>
      <w:t>CIN: U62099UP2023PTC180840     |     GSTIN: 09AAACQ8961F1Z4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2468880" cy="73952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eal_logo_ori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68880" cy="739526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40" w:after="0"/>
      <w:pBdr>
        <w:bottom w:val="single" w:sz="14" w:space="2" w:color="1696BE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