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校园基础大模型竞赛平台 创业计划书</w:t>
      </w:r>
    </w:p>
    <w:p>
      <w:r>
        <w:t>Venture Copilot</w:t>
      </w:r>
    </w:p>
    <w:p>
      <w:r>
        <w:t>生成日期：2026-05-19</w:t>
      </w:r>
    </w:p>
    <w:p>
      <w:pPr>
        <w:pStyle w:val="Heading1"/>
      </w:pPr>
      <w:r>
        <w:t>1 项目概述</w:t>
      </w:r>
    </w:p>
    <w:p>
      <w:r>
        <w:t>校园基础大模型竞赛平台 面向中国高校创新创业竞赛场景，聚焦“This project will rapidly dominate every campus market. 两名学生计划训练基础大模型并服务全国高校。”。项目以清晰的用户需求、可验证的商业闭环和可落地的执行计划作为核心。</w:t>
      </w:r>
    </w:p>
    <w:p>
      <w:pPr>
        <w:pStyle w:val="Heading1"/>
      </w:pPr>
      <w:r>
        <w:t>2 市场分析</w:t>
      </w:r>
    </w:p>
    <w:p>
      <w:r>
        <w:t>初期市场可聚焦高校创业团队、创新创业课程、学生社团和孵化器项目，后续扩展到高校双创中心和早期创业辅导机构。</w:t>
        <w:br/>
        <w:t>研究补充：市场规模：早期市场规模测算应优先聚焦可触达的高校学生、创新创业课程、学生社团和校内孵化器，在验证留存和付费意愿后，再扩展到毕业生、青年创业者和高校合作伙伴场景。；行业趋势：高校持续通过双创课程、赛事训练营和孵化器支持学生创新创业。; 面向学生的产品需要在较短周期内证明节省时间、降低成本或提升成果质量。; 轻量化数字工具适合先通过校园试点验证需求，再逐步扩大运营投入。；竞品：手工电子表格和通用计划书模板; 高校孵化器导师辅导; 通用商业计划书工具; 早期创业财务测算工具</w:t>
      </w:r>
    </w:p>
    <w:p>
      <w:pPr>
        <w:pStyle w:val="Heading1"/>
      </w:pPr>
      <w:r>
        <w:t>3 财务预测</w:t>
      </w:r>
    </w:p>
    <w:p>
      <w:r>
        <w:t>当前预测显示总收入约 7,432,695.04，净利润约 5,346,156.04，预计盈亏平衡月份为 1，期末现金约 5,346,156.04。</w:t>
        <w:br/>
        <w:t>财务摘要：盈亏平衡月份 1；资金缺口 0.0；总收入：7432695.04；净利润：5346156.04；期末现金：5346156.04；盈亏平衡月份：1；资金缺口：0.0</w:t>
      </w:r>
    </w:p>
    <w:p>
      <w:pPr>
        <w:pStyle w:val="Heading1"/>
      </w:pPr>
      <w:r>
        <w:t>4 SWOT分析</w:t>
      </w:r>
    </w:p>
    <w:p>
      <w:r>
        <w:t>优势：校园基础大模型竞赛平台 聚焦高校竞赛场景，定位清晰。；具备财务预测、研究引用和导出的一体化流程。</w:t>
        <w:br/>
        <w:t>劣势：当前仍依赖模拟研究内容，真实数据验证不足。；品牌和渠道仍处于早期阶段。</w:t>
        <w:br/>
        <w:t>机会：高校双创赛事参与度高，计划书生成需求集中。；可与课程、社团和孵化器形成试点合作。</w:t>
        <w:br/>
        <w:t>威胁：通用模板和人工辅导可替代部分功能。；不同赛事格式变化可能增加模板维护成本。</w:t>
      </w:r>
    </w:p>
    <w:p>
      <w:pPr>
        <w:pStyle w:val="Heading1"/>
      </w:pPr>
      <w:r>
        <w:t>5 风险分析</w:t>
      </w:r>
    </w:p>
    <w:p>
      <w:r>
        <w:t>主要风险包括需求验证不足、竞赛格式差异、用户付费意愿不稳定、模板内容同质化以及导出材料质量预期提升。</w:t>
        <w:br/>
        <w:t>研究风险：在完成充分访谈前，市场规模假设可能过宽。; 如果节省时间或提升材料质量的价值不明显，学生可能倾向免费替代方案。; 如果过早面向学校组织销售，决策周期可能较长。</w:t>
      </w:r>
    </w:p>
    <w:p>
      <w:pPr>
        <w:pStyle w:val="Heading1"/>
      </w:pPr>
      <w:r>
        <w:t>项目评分</w:t>
      </w:r>
    </w:p>
    <w:p>
      <w:r>
        <w:t>综合评分：85</w:t>
      </w:r>
    </w:p>
    <w:p>
      <w:pPr>
        <w:pStyle w:val="Heading1"/>
      </w:pPr>
      <w:r>
        <w:t>风险提示</w:t>
      </w:r>
    </w:p>
    <w:p>
      <w:r>
        <w:t>zh-CN 输出中检测到英文正文段落。</w:t>
      </w:r>
    </w:p>
    <w:p>
      <w:r>
        <w:t>尚未发现已生成的 PDF/DOCX 导出文件。</w:t>
      </w:r>
    </w:p>
    <w:p>
      <w:pPr>
        <w:pStyle w:val="Heading1"/>
      </w:pPr>
      <w:r>
        <w:t>改进建议</w:t>
      </w:r>
    </w:p>
    <w:p>
      <w:r>
        <w:t>收窄技术范围，优先验证可交付 MVP。</w:t>
      </w:r>
    </w:p>
    <w:p>
      <w:r>
        <w:t>重新生成中文正文，仅保留 URL、公司名、引用标题和公式缩写。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