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智慧校园节能平台 Iteration7 创业计划书</w:t>
      </w:r>
    </w:p>
    <w:p>
      <w:r>
        <w:t>Venture Copilot</w:t>
      </w:r>
    </w:p>
    <w:p>
      <w:r>
        <w:t>生成日期：2026-05-19</w:t>
      </w:r>
    </w:p>
    <w:p>
      <w:pPr>
        <w:pStyle w:val="Heading1"/>
      </w:pPr>
      <w:r>
        <w:t>1 项目概述</w:t>
      </w:r>
    </w:p>
    <w:p>
      <w:r>
        <w:t>智慧校园节能平台 Iteration7 面向中国高校创新创业竞赛场景，聚焦“面向中国高校的宿舍与教学楼节能监测、积分激励和低碳运营平台”。项目以清晰的用户需求、可验证的商业闭环和可落地的执行计划作为核心。</w:t>
      </w:r>
    </w:p>
    <w:p>
      <w:pPr>
        <w:pStyle w:val="Heading1"/>
      </w:pPr>
      <w:r>
        <w:t>2 SWOT分析</w:t>
      </w:r>
    </w:p>
    <w:p>
      <w:r>
        <w:t>优势：智慧校园节能平台 Iteration7 聚焦高校竞赛场景，定位清晰。；具备财务预测、研究引用和导出的一体化流程。</w:t>
        <w:br/>
        <w:t>劣势：当前仍依赖模拟研究内容，真实数据验证不足。；品牌和渠道仍处于早期阶段。</w:t>
        <w:br/>
        <w:t>机会：高校双创赛事参与度高，计划书生成需求集中。；可与课程、社团和孵化器形成试点合作。</w:t>
        <w:br/>
        <w:t>威胁：通用模板和人工辅导可替代部分功能。；不同赛事格式变化可能增加模板维护成本。</w:t>
      </w:r>
    </w:p>
    <w:p>
      <w:pPr>
        <w:pStyle w:val="Heading1"/>
      </w:pPr>
      <w:r>
        <w:t>3 PEST分析</w:t>
      </w:r>
    </w:p>
    <w:p>
      <w:r>
        <w:t>政治：高校创新创业教育和双创赛事持续获得政策支持。</w:t>
        <w:br/>
        <w:t>经济：学生团队预算有限，因此工具需要证明明确的效率提升和材料质量提升。</w:t>
        <w:br/>
        <w:t>社会：学生创业团队更重视低门槛、可协作、可快速产出的工具。</w:t>
        <w:br/>
        <w:t>技术：结构化模板、自动财务测算和文档导出降低了计划书生产成本。</w:t>
      </w:r>
    </w:p>
    <w:p>
      <w:pPr>
        <w:pStyle w:val="Heading1"/>
      </w:pPr>
      <w:r>
        <w:t>4 波特五力分析</w:t>
      </w:r>
    </w:p>
    <w:p>
      <w:r>
        <w:t>现有竞争者：通用文档模板、导师辅导和商业计划工具竞争强度中等。</w:t>
        <w:br/>
        <w:t>潜在进入者：模板类工具进入门槛较低，但深度适配竞赛格式需要积累。</w:t>
        <w:br/>
        <w:t>替代品：人工撰写、电子表格和免费模板是主要替代品。</w:t>
        <w:br/>
        <w:t>供应商议价能力：核心依赖为软件能力和内容模板，供应商议价能力较低。</w:t>
        <w:br/>
        <w:t>买方议价能力：学生团队价格敏感，学校组织采购则更看重稳定性和服务。</w:t>
      </w:r>
    </w:p>
    <w:p>
      <w:pPr>
        <w:pStyle w:val="Heading1"/>
      </w:pPr>
      <w:r>
        <w:t>5 商业模式画布</w:t>
      </w:r>
    </w:p>
    <w:p>
      <w:r>
        <w:t>客户细分：高校创业团队、双创课程学生、学生社团和孵化器项目。</w:t>
        <w:br/>
        <w:t>价值主张：快速生成符合竞赛表达习惯的财务优先型创业计划书。</w:t>
        <w:br/>
        <w:t>渠道通路：双创中心、赛事训练营、课程合作和学生社群。</w:t>
        <w:br/>
        <w:t>客户关系：模板自助生成结合导师式材料检查。</w:t>
        <w:br/>
        <w:t>收入来源：团队订阅、课程包、训练营工具包和组织级授权。</w:t>
        <w:br/>
        <w:t>关键资源：模板库、财务引擎、研究引用结构和导出能力。</w:t>
        <w:br/>
        <w:t>关键活动：模板迭代、试点运营、赛事周期支持和用户反馈分析。</w:t>
        <w:br/>
        <w:t>关键合作：高校双创中心、导师、学生组织和孵化器。</w:t>
        <w:br/>
        <w:t>成本结构：产品开发、模板维护、运营支持和校园推广。</w:t>
      </w:r>
    </w:p>
    <w:p>
      <w:pPr>
        <w:pStyle w:val="Heading1"/>
      </w:pPr>
      <w:r>
        <w:t>6 财务预测</w:t>
      </w:r>
    </w:p>
    <w:p>
      <w:r>
        <w:t>当前预测显示总收入约 1,180,623.61，净利润约 622,678.15，预计盈亏平衡月份为 10，期末现金约 722,678.15。</w:t>
        <w:br/>
        <w:t>财务摘要：盈亏平衡月份 10；资金缺口 0.0；总收入：1180623.61；净利润：622678.15；期末现金：722678.15；盈亏平衡月份：10；资金缺口：0.0</w:t>
      </w:r>
    </w:p>
    <w:p>
      <w:pPr>
        <w:pStyle w:val="Heading1"/>
      </w:pPr>
      <w:r>
        <w:t>7 风险分析</w:t>
      </w:r>
    </w:p>
    <w:p>
      <w:r>
        <w:t>主要风险包括需求验证不足、竞赛格式差异、用户付费意愿不稳定、模板内容同质化以及导出材料质量预期提升。</w:t>
        <w:br/>
        <w:t>研究风险：在完成充分访谈前，市场规模假设可能过宽。; 如果节省时间或提升材料质量的价值不明显，学生可能倾向免费替代方案。; 如果过早面向学校组织销售，决策周期可能较长。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