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Export Demo</w:t>
      </w:r>
    </w:p>
    <w:p>
      <w:r>
        <w:t>Venture Copilot</w:t>
      </w:r>
    </w:p>
    <w:p>
      <w:r>
        <w:t>Generated date: 2026-05-19</w:t>
      </w:r>
    </w:p>
    <w:p>
      <w:pPr>
        <w:pStyle w:val="Heading1"/>
      </w:pPr>
      <w:r>
        <w:t>1 Executive Summary</w:t>
      </w:r>
    </w:p>
    <w:p>
      <w:r>
        <w:t>MVP Export Demo is a finance-first startup plan for: A complete startup package export test for university founders The current 36-month forecast projects total revenue of 297,826.91 and ending cash of 154,218.07.</w:t>
      </w:r>
    </w:p>
    <w:p>
      <w:r>
        <w:t>Idea summary: A complete startup package export test for university founders</w:t>
      </w:r>
    </w:p>
    <w:p>
      <w:r>
        <w:t>Solution: MVP Export Demo should launch as a narrow MVP that proves the core user workflow, collects feedback quickly, and avoids unnecessary product scope.</w:t>
      </w:r>
    </w:p>
    <w:p>
      <w:pPr>
        <w:pStyle w:val="Heading1"/>
      </w:pPr>
      <w:r>
        <w:t>2 Market Research</w:t>
      </w:r>
    </w:p>
    <w:p>
      <w:r>
        <w:t>Market size: Early market sizing should focus on the reachable student and university ecosystem first, then expand to adjacent graduate, early-career, and campus partner segments once retention is proven.</w:t>
      </w:r>
    </w:p>
    <w:p>
      <w:r>
        <w:t>Industry trends: Universities continue to support student entrepreneurship through accelerators and enterprise programs.; Student-facing products are expected to prove value quickly because budgets and attention are constrained.; Lightweight digital services can validate demand through pilots before heavy operational investment.</w:t>
      </w:r>
    </w:p>
    <w:p>
      <w:r>
        <w:t>Competitors: Manual spreadsheets and generic planning templates; University incubator advisory sessions; Generic business planning software; Early-stage startup finance tools</w:t>
      </w:r>
    </w:p>
    <w:p>
      <w:r>
        <w:t>Market: The initial market should be defined around reachable university communities, student groups, and early adopters who can be interviewed and converted directly.</w:t>
      </w:r>
    </w:p>
    <w:p>
      <w:pPr>
        <w:pStyle w:val="Heading1"/>
      </w:pPr>
      <w:r>
        <w:t>3 Financial Forecast</w:t>
      </w:r>
    </w:p>
    <w:p>
      <w:r>
        <w:t>Breakeven month: 10</w:t>
      </w:r>
    </w:p>
    <w:p>
      <w:r>
        <w:t>Funding needed: 0.0</w:t>
      </w:r>
    </w:p>
    <w:p>
      <w:r>
        <w:t>Forecast summary: total_revenue: 297826.91; total_net_profit: 136218.07; ending_cash: 154218.07; breakeven_month: 10; funding_needed: 0.0</w:t>
      </w:r>
    </w:p>
    <w:p>
      <w:pPr>
        <w:pStyle w:val="Heading1"/>
      </w:pPr>
      <w:r>
        <w:t>4 Risks</w:t>
      </w:r>
    </w:p>
    <w:p>
      <w:r>
        <w:t>Key risks are weak demand validation, slow student adoption, underestimated support work, and cost assumptions drifting from the forecast.</w:t>
      </w:r>
    </w:p>
    <w:p>
      <w:r>
        <w:t>Research risks: Market size assumptions may be too broad before direct customer interviews are complete.; Students may prefer free alternatives unless the product saves clear time or money.; University sales cycles can be slow if the team targets institutions too early.</w:t>
      </w:r>
    </w:p>
    <w:p>
      <w:pPr>
        <w:pStyle w:val="Heading1"/>
      </w:pPr>
      <w:r>
        <w:t>5 Roadmap</w:t>
      </w:r>
    </w:p>
    <w:p>
      <w:r>
        <w:t>Roadmap: validate the problem, build the smallest useful MVP, run a pilot, measure willingness to pay, then expand only around proven usage.</w:t>
      </w:r>
    </w:p>
    <w:p>
      <w:pPr>
        <w:pStyle w:val="Heading1"/>
      </w:pPr>
      <w:r>
        <w:t>6 Citations</w:t>
      </w:r>
    </w:p>
    <w:p>
      <w:r>
        <w:t>World Bank Data — World Bank (institution): https://data.worldbank.org/</w:t>
      </w:r>
    </w:p>
    <w:p>
      <w:r>
        <w:t>OECD Data — OECD (institution): https://data.oecd.org/</w:t>
      </w:r>
    </w:p>
    <w:p>
      <w:r>
        <w:t>Business and Self-employed — GOV.UK (government): https://www.gov.uk/browse/business</w:t>
      </w:r>
    </w:p>
    <w:p>
      <w:r>
        <w:t>Companies House — UK Government (government): https://www.gov.uk/government/organisations/companies-house</w:t>
      </w:r>
    </w:p>
    <w:p>
      <w:r>
        <w:t>Statista — Statista (report): https://www.statista.com/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