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校园低碳回收平台 创业计划书</w:t>
      </w:r>
    </w:p>
    <w:p>
      <w:r>
        <w:t>Venture Copilot</w:t>
      </w:r>
    </w:p>
    <w:p>
      <w:r>
        <w:t>生成日期：2026-05-19</w:t>
      </w:r>
    </w:p>
    <w:p>
      <w:pPr>
        <w:pStyle w:val="Heading1"/>
      </w:pPr>
      <w:r>
        <w:t>1 社会价值</w:t>
      </w:r>
    </w:p>
    <w:p>
      <w:r>
        <w:t>项目有助于降低高校学生创新创业门槛，提升商业计划书质量，促进学生将创意转化为可验证、可展示、可迭代的创业方案。</w:t>
      </w:r>
    </w:p>
    <w:p>
      <w:pPr>
        <w:pStyle w:val="Heading1"/>
      </w:pPr>
      <w:r>
        <w:t>2 市场分析</w:t>
      </w:r>
    </w:p>
    <w:p>
      <w:r>
        <w:t>初期市场可聚焦高校创业团队、创新创业课程、学生社团和孵化器项目，后续扩展到高校双创中心和早期创业辅导机构。</w:t>
        <w:br/>
        <w:t>研究补充：市场规模：Early market sizing should focus on the reachable student and university ecosystem first, then expand to adjacent graduate, early-career, and campus partner segments once retention is proven.；行业趋势：Universities continue to support student entrepreneurship through accelerators and enterprise programs.; Student-facing products are expected to prove value quickly because budgets and attention are constrained.; Lightweight digital services can validate demand through pilots before heavy operational investment.；竞品：Manual spreadsheets and generic planning templates; University incubator advisory sessions; Generic business planning software; Early-stage startup finance tools</w:t>
      </w:r>
    </w:p>
    <w:p>
      <w:pPr>
        <w:pStyle w:val="Heading1"/>
      </w:pPr>
      <w:r>
        <w:t>3 技术/创新点</w:t>
      </w:r>
    </w:p>
    <w:p>
      <w:r>
        <w:t>项目创新点在于将模板化计划书结构、结构化数据和引用型研究内容组合为可复用流程，优先服务挑战杯/互联网+等竞赛材料生产。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