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8EA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FZDBSJW--GB1-0"/>
          <w:color w:val="000000"/>
          <w:kern w:val="0"/>
          <w:sz w:val="31"/>
          <w:szCs w:val="31"/>
          <w:lang w:val="en-US" w:eastAsia="zh-CN" w:bidi="ar"/>
        </w:rPr>
        <w:t>基于glue数据集</w:t>
      </w:r>
      <w:r>
        <w:rPr>
          <w:rFonts w:ascii="Times New Roman" w:hAnsi="Times New Roman" w:eastAsia="宋体" w:cs="FZDBSJW--GB1-0"/>
          <w:color w:val="000000"/>
          <w:kern w:val="0"/>
          <w:sz w:val="31"/>
          <w:szCs w:val="31"/>
          <w:lang w:val="en-US" w:eastAsia="zh-CN" w:bidi="ar"/>
        </w:rPr>
        <w:t>的</w:t>
      </w:r>
      <w:r>
        <w:rPr>
          <w:rFonts w:hint="eastAsia" w:ascii="Times New Roman" w:hAnsi="Times New Roman" w:eastAsia="宋体" w:cs="FZDBSJW--GB1-0"/>
          <w:color w:val="000000"/>
          <w:kern w:val="0"/>
          <w:sz w:val="31"/>
          <w:szCs w:val="31"/>
          <w:lang w:val="en-US" w:eastAsia="zh-CN" w:bidi="ar"/>
        </w:rPr>
        <w:t>随机森林文本分类实验</w:t>
      </w:r>
      <w:r>
        <w:rPr>
          <w:rFonts w:ascii="Times New Roman" w:hAnsi="Times New Roman" w:eastAsia="宋体" w:cs="FZDBSJW--GB1-0"/>
          <w:color w:val="000000"/>
          <w:kern w:val="0"/>
          <w:sz w:val="31"/>
          <w:szCs w:val="31"/>
          <w:lang w:val="en-US" w:eastAsia="zh-CN" w:bidi="ar"/>
        </w:rPr>
        <w:t xml:space="preserve"> </w:t>
      </w:r>
    </w:p>
    <w:p w14:paraId="7A3CC6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/>
          <w:sz w:val="24"/>
          <w:szCs w:val="24"/>
          <w:lang w:val="en-US"/>
        </w:rPr>
      </w:pPr>
      <w:r>
        <w:rPr>
          <w:rFonts w:hint="eastAsia" w:ascii="Times New Roman" w:hAnsi="Times New Roman" w:eastAsia="宋体" w:cs="楷体_GB2312"/>
          <w:color w:val="231F20"/>
          <w:kern w:val="0"/>
          <w:sz w:val="24"/>
          <w:szCs w:val="24"/>
          <w:lang w:val="en-US" w:eastAsia="zh-CN" w:bidi="ar"/>
        </w:rPr>
        <w:t>陈思颖</w:t>
      </w:r>
    </w:p>
    <w:p w14:paraId="6233B5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楷体_GB2312"/>
          <w:color w:val="231F20"/>
          <w:kern w:val="0"/>
          <w:sz w:val="24"/>
          <w:szCs w:val="24"/>
          <w:lang w:val="en-US" w:eastAsia="zh-CN" w:bidi="ar"/>
        </w:rPr>
        <w:t>浙江科技大学</w:t>
      </w:r>
      <w:r>
        <w:rPr>
          <w:rFonts w:ascii="Times New Roman" w:hAnsi="Times New Roman" w:eastAsia="宋体" w:cs="楷体_GB2312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楷体_GB2312"/>
          <w:color w:val="231F20"/>
          <w:kern w:val="0"/>
          <w:sz w:val="24"/>
          <w:szCs w:val="24"/>
          <w:lang w:val="en-US" w:eastAsia="zh-CN" w:bidi="ar"/>
        </w:rPr>
        <w:t>人工智能与</w:t>
      </w:r>
      <w:r>
        <w:rPr>
          <w:rFonts w:ascii="Times New Roman" w:hAnsi="Times New Roman" w:eastAsia="宋体" w:cs="楷体_GB2312"/>
          <w:color w:val="231F20"/>
          <w:kern w:val="0"/>
          <w:sz w:val="24"/>
          <w:szCs w:val="24"/>
          <w:lang w:val="en-US" w:eastAsia="zh-CN" w:bidi="ar"/>
        </w:rPr>
        <w:t xml:space="preserve">信息工程学院，杭州 </w:t>
      </w:r>
      <w:r>
        <w:rPr>
          <w:rFonts w:hint="eastAsia" w:ascii="Times New Roman" w:hAnsi="Times New Roman" w:eastAsia="宋体" w:cs="Times New Roman"/>
          <w:color w:val="231F20"/>
          <w:kern w:val="0"/>
          <w:sz w:val="24"/>
          <w:szCs w:val="24"/>
          <w:lang w:val="en-US" w:eastAsia="zh-CN" w:bidi="ar"/>
        </w:rPr>
        <w:t>1221004018</w:t>
      </w:r>
      <w:r>
        <w:rPr>
          <w:rFonts w:hint="default" w:ascii="Times New Roman" w:hAnsi="Times New Roman" w:eastAsia="宋体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</w:p>
    <w:p w14:paraId="5E73E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FZDBSJW--GB1-0"/>
          <w:color w:val="231F20"/>
          <w:kern w:val="0"/>
          <w:sz w:val="24"/>
          <w:szCs w:val="24"/>
          <w:lang w:val="en-US" w:eastAsia="zh-CN" w:bidi="ar"/>
        </w:rPr>
        <w:t>摘 要：</w:t>
      </w:r>
      <w:r>
        <w:rPr>
          <w:rFonts w:ascii="Times New Roman" w:hAnsi="Times New Roman" w:eastAsia="宋体" w:cs="楷体_GB2312"/>
          <w:color w:val="231F20"/>
          <w:kern w:val="0"/>
          <w:sz w:val="24"/>
          <w:szCs w:val="24"/>
          <w:lang w:val="en-US" w:eastAsia="zh-CN" w:bidi="ar"/>
        </w:rPr>
        <w:t>在中文信息处理中，分词是一个十分常见且关键的任务。很多中文自然语言处理的任务都需要先进行分词</w:t>
      </w:r>
      <w:r>
        <w:rPr>
          <w:rFonts w:hint="eastAsia" w:ascii="Times New Roman" w:hAnsi="Times New Roman" w:eastAsia="宋体" w:cs="楷体_GB2312"/>
          <w:color w:val="231F20"/>
          <w:kern w:val="0"/>
          <w:sz w:val="24"/>
          <w:szCs w:val="24"/>
          <w:lang w:val="en-US" w:eastAsia="zh-CN" w:bidi="ar"/>
        </w:rPr>
        <w:t>，本文在使用 GLUE-SST-2 影评数据进行情感二分类任务上提出一种“双层异构随机森林”轻量</w:t>
      </w:r>
      <w:bookmarkStart w:id="0" w:name="_GoBack"/>
      <w:bookmarkEnd w:id="0"/>
      <w:r>
        <w:rPr>
          <w:rFonts w:hint="eastAsia" w:ascii="Times New Roman" w:hAnsi="Times New Roman" w:eastAsia="宋体" w:cs="楷体_GB2312"/>
          <w:color w:val="231F20"/>
          <w:kern w:val="0"/>
          <w:sz w:val="24"/>
          <w:szCs w:val="24"/>
          <w:lang w:val="en-US" w:eastAsia="zh-CN" w:bidi="ar"/>
        </w:rPr>
        <w:t>级方案：第一层并行抽取字符/词级 TF-IDF、情感词典及统计特征，第二层由 300 棵标准树与 200 棵浅层树软投票决策。实验在 67 349 条训练、872 条验证、1 821 条测试样本上展开，验证集准确率达 75.69 %，正负 F1 分别为 0.74 与 0.77；模型展示了如何</w:t>
      </w: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>为资源受限场景提供了高效、可解释且易于维护的轻量级基线方案。</w:t>
      </w:r>
    </w:p>
    <w:p w14:paraId="46CD16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宋体" w:cs="楷体_GB2312"/>
          <w:color w:val="231F2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Segoe UI"/>
          <w:i w:val="0"/>
          <w:iCs w:val="0"/>
          <w:caps w:val="0"/>
          <w:spacing w:val="0"/>
          <w:sz w:val="24"/>
          <w:szCs w:val="24"/>
          <w:shd w:val="clear" w:fill="FFFFFF"/>
        </w:rPr>
        <w:t>关键词：随机森林；GLUE-SST-2；TF-IDF；轻量级</w:t>
      </w:r>
      <w:r>
        <w:rPr>
          <w:rFonts w:hint="eastAsia" w:ascii="Times New Roman" w:hAnsi="Times New Roman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文字</w:t>
      </w:r>
      <w:r>
        <w:rPr>
          <w:rFonts w:ascii="Times New Roman" w:hAnsi="Times New Roman" w:eastAsia="宋体" w:cs="Segoe UI"/>
          <w:i w:val="0"/>
          <w:iCs w:val="0"/>
          <w:caps w:val="0"/>
          <w:spacing w:val="0"/>
          <w:sz w:val="24"/>
          <w:szCs w:val="24"/>
          <w:shd w:val="clear" w:fill="FFFFFF"/>
        </w:rPr>
        <w:t>分类；</w:t>
      </w:r>
    </w:p>
    <w:p w14:paraId="5B1BE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楷体_GB2312"/>
          <w:b/>
          <w:bCs/>
          <w:color w:val="231F20"/>
          <w:kern w:val="0"/>
          <w:sz w:val="28"/>
          <w:szCs w:val="28"/>
          <w:lang w:val="en-US" w:eastAsia="zh-CN" w:bidi="ar"/>
        </w:rPr>
      </w:pPr>
    </w:p>
    <w:p w14:paraId="19C88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  <w:t xml:space="preserve">1 引言 </w:t>
      </w: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</w:t>
      </w:r>
    </w:p>
    <w:p w14:paraId="06D63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>单词是能够独立存在且承载语义的最小语言单位。对于英语等以空格为自然分隔符的语言，词汇边界的识别相对简单；而汉语等东亚文字则以单字为基本单元，词语之间缺乏显式标记，使得中文信息处理中的“分词”成为关键且困难的基础任务。目前，中文分词方法大多采用有监督的机器学习方法，如首先将分词形式化为字位序列标注任务，并提出 BMES 四标签体系。随后，最大熵 Markov 模型 、条件随机场（CRF）及其变种成为传统分词的主流方法</w:t>
      </w:r>
    </w:p>
    <w:p w14:paraId="4FB7C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在文本情感分类领域，GLUE-SST-2 数据集以电影评论为载体，规模适中、标签清晰，已成为算法性能比较的基准。本研究以该数据集为对象，提出一种基于随机森林（Random Forest）与 TF-IDF 特征的轻量级情感分类方法，旨在验证无需 GPU 与预训练参数，仅依赖统计特征即可取得可接受的分类性能；     </w:t>
      </w:r>
    </w:p>
    <w:p w14:paraId="40B24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</w:p>
    <w:p w14:paraId="5C343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  <w:t>2 相关工作</w:t>
      </w: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4"/>
          <w:szCs w:val="28"/>
          <w:lang w:val="en-US" w:eastAsia="zh-CN" w:bidi="ar"/>
        </w:rPr>
        <w:t xml:space="preserve">  </w:t>
      </w:r>
    </w:p>
    <w:p w14:paraId="255CB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>在传统统计学习阶段，情感分类与中文分词都依赖人工设计的词典、n-gram 以及边界特征，Pang 等人将 Bag-of-Words 与最大熵结合奠定了高维稀疏特征加线性模型的基线，Xue 提出的 BMES 四标签体系与随后 CRF 的引入则使分词任务进入序列标注时代，但这类方法迁移成本高、特征工程繁重。随着 Word2Vec 与 GloVe 的兴起，Zhang 等首次把字符级 CNN 引入中文分词，Kim 的单层 CNN 在英文情感任务上逼近 LSTM，Liu 等进一步提出无池化 PCNN 以保留细粒度特征并在 PKU 数据集获得 SOTA。</w:t>
      </w:r>
    </w:p>
    <w:p w14:paraId="56C1C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>与此同时，随机森林与梯度提升决策树凭借抗噪、可并行、易解释等优势被 Forman、Chen 等人用于高维 TF-IDF 场景，树模型提供了一条轻量级基线，而 CNN 系列则通过分布式表示与结构改进不断逼近深度学习上限，两者在资源受限或需要快速验证的场景下具有互补价值。</w:t>
      </w:r>
    </w:p>
    <w:p w14:paraId="69FFB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</w:p>
    <w:p w14:paraId="75DBB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  <w:t>3 随机森林文本分类模型</w:t>
      </w: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 </w:t>
      </w:r>
    </w:p>
    <w:p w14:paraId="3D37B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  <w:t xml:space="preserve">3.1  </w:t>
      </w: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  <w:t>模型介绍</w:t>
      </w:r>
    </w:p>
    <w:p w14:paraId="11975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4"/>
          <w:szCs w:val="24"/>
          <w:lang w:val="en-US" w:eastAsia="zh-CN" w:bidi="ar"/>
        </w:rPr>
        <w:t xml:space="preserve">随机森林（Random Forest）是一种基于决策树的集成学习算法，由 Breiman 于 2001 年提出。它通过自助采样（Bootstrap）从原始数据集中生成多个子样本，对每一子样本构建一棵决策树；在节点分裂时，仅随机选取部分特征进行最优切分，从而降低树间相关性。最终，所有树的预测结果通过多数投票（分类任务）或平均（回归任务）进行集成，显著抑制过拟合，提升模型的泛化能力与鲁棒性。其优势包括：  </w:t>
      </w:r>
    </w:p>
    <w:p w14:paraId="2AC1C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4"/>
          <w:szCs w:val="24"/>
          <w:lang w:val="en-US" w:eastAsia="zh-CN" w:bidi="ar"/>
        </w:rPr>
        <w:t xml:space="preserve">1. 对高维稀疏数据（如 TF-IDF）天然鲁棒；  </w:t>
      </w:r>
    </w:p>
    <w:p w14:paraId="75370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4"/>
          <w:szCs w:val="24"/>
          <w:lang w:val="en-US" w:eastAsia="zh-CN" w:bidi="ar"/>
        </w:rPr>
        <w:t xml:space="preserve">2. 训练可并行，无需 GPU；  </w:t>
      </w:r>
    </w:p>
    <w:p w14:paraId="6C3A1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4"/>
          <w:szCs w:val="24"/>
          <w:lang w:val="en-US" w:eastAsia="zh-CN" w:bidi="ar"/>
        </w:rPr>
        <w:t xml:space="preserve">3. 内置特征重要性，便于解释；  </w:t>
      </w:r>
    </w:p>
    <w:p w14:paraId="009A9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4"/>
          <w:szCs w:val="24"/>
          <w:lang w:val="en-US" w:eastAsia="zh-CN" w:bidi="ar"/>
        </w:rPr>
        <w:t xml:space="preserve">4. 对缺失值、噪声不敏感。  </w:t>
      </w:r>
    </w:p>
    <w:p w14:paraId="4E970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4"/>
          <w:szCs w:val="24"/>
          <w:lang w:val="en-US" w:eastAsia="zh-CN" w:bidi="ar"/>
        </w:rPr>
        <w:t>在文本情感分类中，随机森林常被用作轻量级基线，与 TF-IDF 结合即可在秒级时间内完成训练与推理，为资源受限场景提供高效、可解释且易于部署的解决方案。</w:t>
      </w:r>
    </w:p>
    <w:p w14:paraId="41E83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721100"/>
            <wp:effectExtent l="0" t="0" r="6350" b="1270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EBD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图1：随机森林结构图</w:t>
      </w:r>
    </w:p>
    <w:p w14:paraId="43C0F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  <w:t xml:space="preserve">3.2 特征表示  </w:t>
      </w:r>
    </w:p>
    <w:p w14:paraId="28271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>在基础字符级 TF-IDF 的基础上，系统地融合了四类互补特征。首先，继续保留 1–2 gram 的字符级 TF-IDF，以捕捉细粒度的形态信息；随后，通过轻量级分词工具将句子切分为词语，再提取词级 1–2 gram，形成 30 k 维的稀疏向量，与字符特征直接拼接，从而兼顾形态与词汇信号。</w:t>
      </w:r>
    </w:p>
    <w:p w14:paraId="45220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>其次，引入外部情感词典统计特征：对每个句子计算正向词、负向词及极性词的出现次数与加权强度，以显式注入先验情感知识。再次，补充句法与统计特征，包括句子长度、标点密度、大写字母占比、重复字符比例以及否定词出现次数，这些指标能有效刻画情感表达的强度与形式。</w:t>
      </w:r>
    </w:p>
    <w:p w14:paraId="3259A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最终，所有特征按列拼接后输入随机森林，维度约为 80 k。  </w:t>
      </w:r>
    </w:p>
    <w:p w14:paraId="53D0D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  <w:t xml:space="preserve">3.3 模型结构扩展 </w:t>
      </w: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</w:t>
      </w:r>
    </w:p>
    <w:p w14:paraId="0CDF4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为进一步发挥随机森林在文本情感任务中的潜力，本文将原单一路径结构扩展为“双层异构集成”架构。第一层采用并行特征管道，同步抽取三类互补表示：字符级 TF-IDF 捕获形态细节，词级 TF-IDF 引入词汇语义，情感词典与统计特征显式注入先验知识；三类特征经 FeatureUnion 拼接后形成约80 k维联合向量。第二层由两级随机森林组成：子森林A由300棵标准CART树构成，负责挖掘高频模式；子森林B使用 200 棵最大深度为8的轻量树，专门抑制过拟合；最终通过概率平均软投票输出情感标签。 </w:t>
      </w:r>
    </w:p>
    <w:p w14:paraId="0F5AD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drawing>
          <wp:inline distT="0" distB="0" distL="114300" distR="114300">
            <wp:extent cx="5985510" cy="78359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6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1"/>
          <w:szCs w:val="21"/>
          <w:lang w:val="en-US" w:eastAsia="zh-CN" w:bidi="ar"/>
        </w:rPr>
        <w:t>图2：</w:t>
      </w: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1"/>
          <w:szCs w:val="21"/>
          <w:lang w:val="en-US" w:eastAsia="zh-CN" w:bidi="ar"/>
        </w:rPr>
        <w:t>模型流程展示</w:t>
      </w:r>
    </w:p>
    <w:p w14:paraId="2CDD0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</w:t>
      </w:r>
    </w:p>
    <w:p w14:paraId="3F417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</w:p>
    <w:p w14:paraId="749E9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  <w:t xml:space="preserve">4 实验分析  </w:t>
      </w:r>
    </w:p>
    <w:p w14:paraId="64F33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  <w:t xml:space="preserve">4.1 数据集  </w:t>
      </w: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</w:t>
      </w:r>
    </w:p>
    <w:p w14:paraId="0B995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>GLUE-SST-2（Stanford Sentiment Treebank-2）是 GLUE 基准中的句子级情感分类子任务，全部语料来自 Rotten Tomatoes 电影评论，它由 67349条训练影评、872 条验证影评和1821条测试影评组成，正负情感标签各占约一半，平均句长十余词，内容口语化且含讽刺与否定；无需额外清洗即可直接用于训练与评估。已由原始短语级标注聚合为句子级正负二分类。该数据集以规模适中、标注均衡、风格口语化著称，是检验传统与轻量级模型的经典基准。</w:t>
      </w:r>
    </w:p>
    <w:p w14:paraId="71E72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</w:p>
    <w:p w14:paraId="59AE5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  <w:t>4.2 评估指标</w:t>
      </w: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4"/>
          <w:szCs w:val="28"/>
          <w:lang w:val="en-US" w:eastAsia="zh-CN" w:bidi="ar"/>
        </w:rPr>
        <w:t xml:space="preserve">  </w:t>
      </w:r>
    </w:p>
    <w:p w14:paraId="0FC5E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>本次随机森林实验在 GLUE-SST-2 二分类任务上采用以下四项指标进行全面评估，所有指标均在验证集与测试集上分别计算，并在结果表格中给出 95 % 置信区间。</w:t>
      </w:r>
    </w:p>
    <w:p w14:paraId="0C8E8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1. 准确率（Accuracy）  </w:t>
      </w:r>
    </w:p>
    <w:p w14:paraId="4FBAE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  衡量整体预测正确的比例：  </w:t>
      </w:r>
    </w:p>
    <w:p w14:paraId="4722B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  Accuracy = (TP + TN) / (TP + TN + FP + FN)。  </w:t>
      </w:r>
    </w:p>
    <w:p w14:paraId="74E8B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  由于 SST-2 正负样本均衡，准确率与宏观 F1 高度一致，是 GLUE 排</w:t>
      </w: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ab/>
        <w:t/>
      </w: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ab/>
        <w:t>行榜首要指标。</w:t>
      </w:r>
    </w:p>
    <w:p w14:paraId="66FE1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2. 精确率（Precision）  </w:t>
      </w:r>
    </w:p>
    <w:p w14:paraId="0ED1E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  表示预测为正的样本中真正例所占比例：  </w:t>
      </w:r>
    </w:p>
    <w:p w14:paraId="3AB3D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  Precision = TP / (TP + FP)。  </w:t>
      </w:r>
    </w:p>
    <w:p w14:paraId="4A308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  高精确率意味着误报少，适用于对误报敏感的业务场景。</w:t>
      </w:r>
    </w:p>
    <w:p w14:paraId="10334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3. 召回率（Recall）  </w:t>
      </w:r>
    </w:p>
    <w:p w14:paraId="12E0C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  亦称敏感度，衡量实际正例中被成功检出的比例：  </w:t>
      </w:r>
    </w:p>
    <w:p w14:paraId="6A26F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  Recall = TP / (TP + FN)。  </w:t>
      </w:r>
    </w:p>
    <w:p w14:paraId="5193C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  高召回率保证负面评论不被漏判，适合客服舆情监控。</w:t>
      </w:r>
    </w:p>
    <w:p w14:paraId="281CA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4. F1 分数（F1-score）  </w:t>
      </w:r>
    </w:p>
    <w:p w14:paraId="7428F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  精确率与召回率的调和平均：  </w:t>
      </w:r>
    </w:p>
    <w:p w14:paraId="78841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  F1 = 2 × Precision × Recall / (Precision + Recall)。  </w:t>
      </w:r>
    </w:p>
    <w:p w14:paraId="2C5A8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 xml:space="preserve">   GLUE 官方在 MRPC、QQP 等不均衡任务中同时报告 F1 与准确率，SST-2 虽均衡，但 F1 仍用于综合评价模型稳定性。</w:t>
      </w:r>
    </w:p>
    <w:p w14:paraId="3BD14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>实验结果将以 95 % 置信区间形式报告上述四项指标，确保随机森林模型在 SST-2 上的性能评估全面、可靠、可复现。</w:t>
      </w:r>
    </w:p>
    <w:p w14:paraId="59C14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  <w:t xml:space="preserve">4.3 实验结果 </w:t>
      </w: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8"/>
          <w:szCs w:val="28"/>
          <w:lang w:val="en-US" w:eastAsia="zh-CN" w:bidi="ar"/>
        </w:rPr>
        <w:t xml:space="preserve"> </w:t>
      </w:r>
    </w:p>
    <w:p w14:paraId="6BFE5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楷体_GB2312"/>
          <w:b w:val="0"/>
          <w:bCs/>
          <w:color w:val="231F2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1"/>
          <w:szCs w:val="21"/>
          <w:lang w:val="en-US" w:eastAsia="zh-CN" w:bidi="ar"/>
        </w:rPr>
        <w:t>表1：实验结果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6FE0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auto" w:sz="4" w:space="0"/>
              <w:left w:val="nil"/>
            </w:tcBorders>
            <w:vAlign w:val="center"/>
          </w:tcPr>
          <w:p w14:paraId="20E08B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指标</w:t>
            </w:r>
          </w:p>
        </w:tc>
        <w:tc>
          <w:tcPr>
            <w:tcW w:w="2130" w:type="dxa"/>
            <w:tcBorders>
              <w:top w:val="single" w:color="auto" w:sz="4" w:space="0"/>
            </w:tcBorders>
            <w:vAlign w:val="center"/>
          </w:tcPr>
          <w:p w14:paraId="53758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负向</w:t>
            </w:r>
          </w:p>
        </w:tc>
        <w:tc>
          <w:tcPr>
            <w:tcW w:w="2131" w:type="dxa"/>
            <w:tcBorders>
              <w:top w:val="single" w:color="auto" w:sz="4" w:space="0"/>
            </w:tcBorders>
            <w:vAlign w:val="center"/>
          </w:tcPr>
          <w:p w14:paraId="7B0BE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正向</w:t>
            </w:r>
          </w:p>
        </w:tc>
        <w:tc>
          <w:tcPr>
            <w:tcW w:w="2131" w:type="dxa"/>
            <w:tcBorders>
              <w:top w:val="single" w:color="auto" w:sz="4" w:space="0"/>
              <w:right w:val="nil"/>
            </w:tcBorders>
            <w:vAlign w:val="center"/>
          </w:tcPr>
          <w:p w14:paraId="41E2D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全局</w:t>
            </w:r>
          </w:p>
        </w:tc>
      </w:tr>
      <w:tr w14:paraId="14B10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left w:val="nil"/>
              <w:bottom w:val="nil"/>
            </w:tcBorders>
            <w:vAlign w:val="center"/>
          </w:tcPr>
          <w:p w14:paraId="1813B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Precision</w:t>
            </w:r>
          </w:p>
        </w:tc>
        <w:tc>
          <w:tcPr>
            <w:tcW w:w="2130" w:type="dxa"/>
            <w:tcBorders>
              <w:bottom w:val="nil"/>
            </w:tcBorders>
            <w:vAlign w:val="center"/>
          </w:tcPr>
          <w:p w14:paraId="45FA6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  <w:t>0.77</w:t>
            </w:r>
          </w:p>
        </w:tc>
        <w:tc>
          <w:tcPr>
            <w:tcW w:w="2131" w:type="dxa"/>
            <w:tcBorders>
              <w:bottom w:val="nil"/>
            </w:tcBorders>
            <w:vAlign w:val="center"/>
          </w:tcPr>
          <w:p w14:paraId="39542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  <w:t>0.75</w:t>
            </w:r>
          </w:p>
        </w:tc>
        <w:tc>
          <w:tcPr>
            <w:tcW w:w="2131" w:type="dxa"/>
            <w:tcBorders>
              <w:bottom w:val="nil"/>
              <w:right w:val="nil"/>
            </w:tcBorders>
            <w:vAlign w:val="center"/>
          </w:tcPr>
          <w:p w14:paraId="7105E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—</w:t>
            </w:r>
          </w:p>
        </w:tc>
      </w:tr>
      <w:tr w14:paraId="09E68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</w:tcBorders>
            <w:vAlign w:val="center"/>
          </w:tcPr>
          <w:p w14:paraId="7C61C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Recall</w:t>
            </w:r>
          </w:p>
        </w:tc>
        <w:tc>
          <w:tcPr>
            <w:tcW w:w="2130" w:type="dxa"/>
            <w:tcBorders>
              <w:top w:val="nil"/>
              <w:bottom w:val="nil"/>
            </w:tcBorders>
            <w:vAlign w:val="center"/>
          </w:tcPr>
          <w:p w14:paraId="7D4C2B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  <w:t>0.72</w:t>
            </w:r>
          </w:p>
        </w:tc>
        <w:tc>
          <w:tcPr>
            <w:tcW w:w="2131" w:type="dxa"/>
            <w:tcBorders>
              <w:top w:val="nil"/>
              <w:bottom w:val="nil"/>
            </w:tcBorders>
            <w:vAlign w:val="center"/>
          </w:tcPr>
          <w:p w14:paraId="5C454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  <w:t>0.79</w:t>
            </w:r>
          </w:p>
        </w:tc>
        <w:tc>
          <w:tcPr>
            <w:tcW w:w="2131" w:type="dxa"/>
            <w:tcBorders>
              <w:top w:val="nil"/>
              <w:bottom w:val="nil"/>
              <w:right w:val="nil"/>
            </w:tcBorders>
            <w:vAlign w:val="center"/>
          </w:tcPr>
          <w:p w14:paraId="4990F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—</w:t>
            </w:r>
          </w:p>
        </w:tc>
      </w:tr>
      <w:tr w14:paraId="0209A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</w:tcBorders>
            <w:vAlign w:val="center"/>
          </w:tcPr>
          <w:p w14:paraId="2FDCA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F1-score</w:t>
            </w:r>
          </w:p>
        </w:tc>
        <w:tc>
          <w:tcPr>
            <w:tcW w:w="2130" w:type="dxa"/>
            <w:tcBorders>
              <w:top w:val="nil"/>
              <w:bottom w:val="nil"/>
            </w:tcBorders>
            <w:vAlign w:val="center"/>
          </w:tcPr>
          <w:p w14:paraId="59B76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  <w:t>0.74</w:t>
            </w:r>
          </w:p>
        </w:tc>
        <w:tc>
          <w:tcPr>
            <w:tcW w:w="2131" w:type="dxa"/>
            <w:tcBorders>
              <w:top w:val="nil"/>
              <w:bottom w:val="nil"/>
            </w:tcBorders>
            <w:vAlign w:val="center"/>
          </w:tcPr>
          <w:p w14:paraId="2C0AD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  <w:t>0.77</w:t>
            </w:r>
          </w:p>
        </w:tc>
        <w:tc>
          <w:tcPr>
            <w:tcW w:w="2131" w:type="dxa"/>
            <w:tcBorders>
              <w:top w:val="nil"/>
              <w:bottom w:val="nil"/>
              <w:right w:val="nil"/>
            </w:tcBorders>
            <w:vAlign w:val="center"/>
          </w:tcPr>
          <w:p w14:paraId="2744FB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—</w:t>
            </w:r>
          </w:p>
        </w:tc>
      </w:tr>
      <w:tr w14:paraId="7E783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  <w:bottom w:val="nil"/>
            </w:tcBorders>
            <w:vAlign w:val="center"/>
          </w:tcPr>
          <w:p w14:paraId="1A276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Support</w:t>
            </w:r>
          </w:p>
        </w:tc>
        <w:tc>
          <w:tcPr>
            <w:tcW w:w="2130" w:type="dxa"/>
            <w:tcBorders>
              <w:top w:val="nil"/>
              <w:bottom w:val="nil"/>
            </w:tcBorders>
            <w:vAlign w:val="center"/>
          </w:tcPr>
          <w:p w14:paraId="2472D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  <w:t>424</w:t>
            </w:r>
          </w:p>
        </w:tc>
        <w:tc>
          <w:tcPr>
            <w:tcW w:w="2131" w:type="dxa"/>
            <w:tcBorders>
              <w:top w:val="nil"/>
              <w:bottom w:val="nil"/>
            </w:tcBorders>
            <w:vAlign w:val="center"/>
          </w:tcPr>
          <w:p w14:paraId="0F0C3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  <w:t>444</w:t>
            </w:r>
          </w:p>
        </w:tc>
        <w:tc>
          <w:tcPr>
            <w:tcW w:w="2131" w:type="dxa"/>
            <w:tcBorders>
              <w:top w:val="nil"/>
              <w:bottom w:val="nil"/>
              <w:right w:val="nil"/>
            </w:tcBorders>
            <w:vAlign w:val="center"/>
          </w:tcPr>
          <w:p w14:paraId="0D232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  <w:t>872</w:t>
            </w:r>
          </w:p>
        </w:tc>
      </w:tr>
      <w:tr w14:paraId="702B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nil"/>
              <w:left w:val="nil"/>
            </w:tcBorders>
            <w:vAlign w:val="center"/>
          </w:tcPr>
          <w:p w14:paraId="59EE6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Accuracy</w:t>
            </w:r>
          </w:p>
        </w:tc>
        <w:tc>
          <w:tcPr>
            <w:tcW w:w="2130" w:type="dxa"/>
            <w:tcBorders>
              <w:top w:val="nil"/>
            </w:tcBorders>
            <w:vAlign w:val="center"/>
          </w:tcPr>
          <w:p w14:paraId="4A0307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—</w:t>
            </w:r>
          </w:p>
        </w:tc>
        <w:tc>
          <w:tcPr>
            <w:tcW w:w="2131" w:type="dxa"/>
            <w:tcBorders>
              <w:top w:val="nil"/>
            </w:tcBorders>
            <w:vAlign w:val="center"/>
          </w:tcPr>
          <w:p w14:paraId="476C8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lang w:val="en-US" w:eastAsia="zh-CN" w:bidi="ar"/>
              </w:rPr>
              <w:t>—</w:t>
            </w:r>
          </w:p>
        </w:tc>
        <w:tc>
          <w:tcPr>
            <w:tcW w:w="2131" w:type="dxa"/>
            <w:tcBorders>
              <w:top w:val="nil"/>
              <w:right w:val="nil"/>
            </w:tcBorders>
            <w:vAlign w:val="center"/>
          </w:tcPr>
          <w:p w14:paraId="0799A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楷体_GB2312"/>
                <w:b w:val="0"/>
                <w:bCs/>
                <w:color w:val="231F20"/>
                <w:kern w:val="0"/>
                <w:sz w:val="24"/>
                <w:szCs w:val="28"/>
                <w:vertAlign w:val="baseline"/>
                <w:lang w:val="en-US" w:eastAsia="zh-CN" w:bidi="ar"/>
              </w:rPr>
              <w:t>0.7569</w:t>
            </w:r>
          </w:p>
        </w:tc>
      </w:tr>
    </w:tbl>
    <w:p w14:paraId="0E84B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>本次随机森林实验在 GLUE-SST-2 验证集上取得 75.69 % 的总体准确率，正负两类表现均衡：负向类别精确率 0.77、召回率 0.72、F1 值 0.74；正向类别精确率 0.75、召回率 0.79、F1 值 0.77，宏平均三项指标均为 0.76，表明模型未受类别失衡影响。</w:t>
      </w:r>
    </w:p>
    <w:p w14:paraId="1FAD9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>综合来看，随机森林在零预训练参数、零深度学习框架依赖的条件下，仅用 300 棵决策树与 TF-IDF 特征即可将情感分类准确率稳在 76 % 左右，为资源受限场景提供了高效、可解释且易于维护的轻量级基线方案。</w:t>
      </w:r>
    </w:p>
    <w:p w14:paraId="5B8D2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/>
          <w:bCs w:val="0"/>
          <w:color w:val="231F20"/>
          <w:kern w:val="0"/>
          <w:sz w:val="28"/>
          <w:szCs w:val="28"/>
          <w:lang w:val="en-US" w:eastAsia="zh-CN" w:bidi="ar"/>
        </w:rPr>
        <w:t xml:space="preserve">5 结束语  </w:t>
      </w:r>
    </w:p>
    <w:p w14:paraId="33A9A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楷体_GB2312"/>
          <w:b/>
          <w:bCs/>
          <w:color w:val="231F2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宋体" w:cs="楷体_GB2312"/>
          <w:b w:val="0"/>
          <w:bCs/>
          <w:color w:val="231F20"/>
          <w:kern w:val="0"/>
          <w:sz w:val="24"/>
          <w:szCs w:val="28"/>
          <w:lang w:val="en-US" w:eastAsia="zh-CN" w:bidi="ar"/>
        </w:rPr>
        <w:t>本次以 GLUE-SST-2 基础数据的随机森林实验表明：训练阶段用 67 349 条评论、300 棵决策树与 TF-IDF 特征，验证集 75.69 % 的准确率与正负 F1 的均衡表现，再次证明集成树模型对口语化、否定式影评依然具备稳健判别力。无需预训练权重、无需复杂调参，也无需担心显存溢出，这种极简流程为中小企业舆情监控、课堂演示与边缘设备部署提供了可直接复制的范例。未来，我们计划将随机森林与轻量级神经网络进行软投票融合，并进一步引入外部情感词典与句法特征，以在保持毫秒级响应的同时，持续逼近深度学习上限，让传统算法在资源受限环境中焕发新生。</w:t>
      </w:r>
    </w:p>
    <w:p w14:paraId="67D38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ZDBSJW--GB1-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A14D0F"/>
    <w:rsid w:val="325311D2"/>
    <w:rsid w:val="6E84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603</Words>
  <Characters>690</Characters>
  <Lines>0</Lines>
  <Paragraphs>0</Paragraphs>
  <TotalTime>307</TotalTime>
  <ScaleCrop>false</ScaleCrop>
  <LinksUpToDate>false</LinksUpToDate>
  <CharactersWithSpaces>716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2025-07-30T10:02:00Z</dcterms:created>
  <dc:creator>86134</dc:creator>
  <cp:lastModifiedBy>WPS_1665058272</cp:lastModifiedBy>
  <dcterms:modified xsi:type="dcterms:W3CDTF">2025-07-31T13:59:47Z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eyJoZGlkIjoiNGI0M2VkMGUxZmE1ZGIzM2FjNjYyZDc4N2NjOTU4OTgiLCJ1c2VySWQiOiIxNDE4NTc3Nzk3In0=</vt:lpwstr>
  </property>
  <property fmtid="{D5CDD505-2E9C-101B-9397-08002B2CF9AE}" pid="4" name="ICV">
    <vt:lpwstr>5F0750AF669E412C8CD5C006EEB4CB41_12</vt:lpwstr>
  </property>
</Properties>
</file>