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[Drive asset omitted: fpt-university]</w:t>
      </w:r>
    </w:p>
    <w:bookmarkStart w:id="23" w:name="report-2-project-management-plan"/>
    <w:p>
      <w:pPr>
        <w:pStyle w:val="Heading1"/>
      </w:pPr>
      <w:r>
        <w:t xml:space="preserve">REPORT 2 — PROJECT MANAGEMENT PLAN</w:t>
      </w:r>
    </w:p>
    <w:bookmarkStart w:id="21" w:name="X7c222baa4e433c876dcf21fe323bc8e0fc4b8da"/>
    <w:p>
      <w:pPr>
        <w:pStyle w:val="Heading2"/>
      </w:pPr>
      <w:r>
        <w:t xml:space="preserve">Personalized Product Sales and Workshop Booking System</w:t>
      </w:r>
    </w:p>
    <w:p>
      <w:pPr>
        <w:pStyle w:val="FirstParagraph"/>
      </w:pPr>
      <w:r>
        <w:rPr>
          <w:b/>
          <w:bCs/>
        </w:rPr>
        <w:t xml:space="preserve">Group:</w:t>
      </w:r>
      <w:r>
        <w:t xml:space="preserve"> </w:t>
      </w:r>
      <w:r>
        <w:t xml:space="preserve">SEP490_G22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Active project, under validation</w:t>
      </w:r>
      <w:r>
        <w:br/>
      </w:r>
      <w:r>
        <w:rPr>
          <w:b/>
          <w:bCs/>
        </w:rPr>
        <w:t xml:space="preserve">Document status:</w:t>
      </w:r>
      <w:r>
        <w:t xml:space="preserve"> </w:t>
      </w:r>
      <w:r>
        <w:t xml:space="preserve">Planning baseline; unapproved values are marked</w:t>
      </w:r>
      <w:r>
        <w:t xml:space="preserve"> </w:t>
      </w:r>
      <w:r>
        <w:rPr>
          <w:rStyle w:val="VerbatimChar"/>
        </w:rPr>
        <w:t xml:space="preserve">TBD</w:t>
      </w:r>
      <w:r>
        <w:t xml:space="preserve">.</w:t>
      </w:r>
    </w:p>
    <w:bookmarkEnd w:id="21"/>
    <w:bookmarkStart w:id="2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Change Log</w:t>
      </w:r>
    </w:p>
    <w:p>
      <w:pPr>
        <w:pStyle w:val="Compact"/>
        <w:numPr>
          <w:ilvl w:val="0"/>
          <w:numId w:val="1001"/>
        </w:numPr>
      </w:pPr>
      <w:r>
        <w:t xml:space="preserve">I. Project Overview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3"/>
        </w:numPr>
      </w:pPr>
      <w:r>
        <w:t xml:space="preserve">Scope and Purpose</w:t>
      </w:r>
    </w:p>
    <w:p>
      <w:pPr>
        <w:pStyle w:val="Compact"/>
        <w:numPr>
          <w:ilvl w:val="1"/>
          <w:numId w:val="1002"/>
        </w:numPr>
      </w:pPr>
      <w:r>
        <w:t xml:space="preserve">2. Assumptions and Constraints</w:t>
      </w:r>
    </w:p>
    <w:p>
      <w:pPr>
        <w:pStyle w:val="Compact"/>
        <w:numPr>
          <w:ilvl w:val="1"/>
          <w:numId w:val="1002"/>
        </w:numPr>
      </w:pPr>
      <w:r>
        <w:t xml:space="preserve">3. Cost &amp; Time Estimations</w:t>
      </w:r>
    </w:p>
    <w:p>
      <w:pPr>
        <w:pStyle w:val="Compact"/>
        <w:numPr>
          <w:ilvl w:val="1"/>
          <w:numId w:val="1002"/>
        </w:numPr>
      </w:pPr>
      <w:r>
        <w:t xml:space="preserve">4. Capacity Planning</w:t>
      </w:r>
    </w:p>
    <w:p>
      <w:pPr>
        <w:pStyle w:val="Compact"/>
        <w:numPr>
          <w:ilvl w:val="1"/>
          <w:numId w:val="1002"/>
        </w:numPr>
      </w:pPr>
      <w:r>
        <w:t xml:space="preserve">5. Project Objectives</w:t>
      </w:r>
    </w:p>
    <w:p>
      <w:pPr>
        <w:pStyle w:val="Compact"/>
        <w:numPr>
          <w:ilvl w:val="1"/>
          <w:numId w:val="1002"/>
        </w:numPr>
      </w:pPr>
      <w:r>
        <w:t xml:space="preserve">6. Risks and Mitigations</w:t>
      </w:r>
    </w:p>
    <w:p>
      <w:pPr>
        <w:pStyle w:val="Compact"/>
        <w:numPr>
          <w:ilvl w:val="0"/>
          <w:numId w:val="1001"/>
        </w:numPr>
      </w:pPr>
      <w:r>
        <w:t xml:space="preserve">II. Management Approach</w:t>
      </w:r>
    </w:p>
    <w:p>
      <w:pPr>
        <w:pStyle w:val="Compact"/>
        <w:numPr>
          <w:ilvl w:val="1"/>
          <w:numId w:val="1004"/>
        </w:numPr>
      </w:pPr>
    </w:p>
    <w:p>
      <w:pPr>
        <w:pStyle w:val="Compact"/>
        <w:numPr>
          <w:ilvl w:val="2"/>
          <w:numId w:val="1005"/>
        </w:numPr>
      </w:pPr>
      <w:r>
        <w:t xml:space="preserve">Project Process/Methodology</w:t>
      </w:r>
    </w:p>
    <w:p>
      <w:pPr>
        <w:pStyle w:val="Compact"/>
        <w:numPr>
          <w:ilvl w:val="1"/>
          <w:numId w:val="1004"/>
        </w:numPr>
      </w:pPr>
      <w:r>
        <w:t xml:space="preserve">2. Quality Management</w:t>
      </w:r>
    </w:p>
    <w:p>
      <w:pPr>
        <w:pStyle w:val="Compact"/>
        <w:numPr>
          <w:ilvl w:val="1"/>
          <w:numId w:val="1004"/>
        </w:numPr>
      </w:pPr>
      <w:r>
        <w:t xml:space="preserve">3. Project Training Plan</w:t>
      </w:r>
    </w:p>
    <w:p>
      <w:pPr>
        <w:pStyle w:val="Compact"/>
        <w:numPr>
          <w:ilvl w:val="1"/>
          <w:numId w:val="1004"/>
        </w:numPr>
      </w:pPr>
      <w:r>
        <w:t xml:space="preserve">4. Responsibility Assignments</w:t>
      </w:r>
    </w:p>
    <w:p>
      <w:pPr>
        <w:pStyle w:val="Compact"/>
        <w:numPr>
          <w:ilvl w:val="1"/>
          <w:numId w:val="1004"/>
        </w:numPr>
      </w:pPr>
      <w:r>
        <w:t xml:space="preserve">5. Project Communications</w:t>
      </w:r>
    </w:p>
    <w:p>
      <w:pPr>
        <w:pStyle w:val="Compact"/>
        <w:numPr>
          <w:ilvl w:val="1"/>
          <w:numId w:val="1004"/>
        </w:numPr>
      </w:pPr>
      <w:r>
        <w:t xml:space="preserve">6. Configuration Management</w:t>
      </w:r>
    </w:p>
    <w:p>
      <w:pPr>
        <w:pStyle w:val="Compact"/>
        <w:numPr>
          <w:ilvl w:val="2"/>
          <w:numId w:val="1006"/>
        </w:numPr>
      </w:pPr>
      <w:r>
        <w:t xml:space="preserve">6.1 Document Management</w:t>
      </w:r>
    </w:p>
    <w:p>
      <w:pPr>
        <w:pStyle w:val="Compact"/>
        <w:numPr>
          <w:ilvl w:val="2"/>
          <w:numId w:val="1006"/>
        </w:numPr>
      </w:pPr>
      <w:r>
        <w:t xml:space="preserve">6.2 Source Code Management</w:t>
      </w:r>
    </w:p>
    <w:p>
      <w:pPr>
        <w:pStyle w:val="Compact"/>
        <w:numPr>
          <w:ilvl w:val="2"/>
          <w:numId w:val="1006"/>
        </w:numPr>
      </w:pPr>
      <w:r>
        <w:t xml:space="preserve">6.3 Tools &amp; Infrastructures</w:t>
      </w:r>
    </w:p>
    <w:bookmarkEnd w:id="22"/>
    <w:bookmarkEnd w:id="23"/>
    <w:bookmarkStart w:id="24" w:name="change-log"/>
    <w:p>
      <w:pPr>
        <w:pStyle w:val="Heading1"/>
      </w:pPr>
      <w:r>
        <w:t xml:space="preserve">Change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A/M/D</w:t>
            </w:r>
          </w:p>
        </w:tc>
        <w:tc>
          <w:tcPr/>
          <w:p>
            <w:pPr>
              <w:pStyle w:val="Compact"/>
            </w:pPr>
            <w:r>
              <w:t xml:space="preserve">In charge</w:t>
            </w:r>
          </w:p>
        </w:tc>
        <w:tc>
          <w:tcPr/>
          <w:p>
            <w:pPr>
              <w:pStyle w:val="Compact"/>
            </w:pPr>
            <w:r>
              <w:t xml:space="preserve">Change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committed changes found for the configured history paths.</w:t>
            </w:r>
          </w:p>
        </w:tc>
      </w:tr>
    </w:tbl>
    <w:bookmarkEnd w:id="24"/>
    <w:bookmarkStart w:id="33" w:name="i.-project-overview"/>
    <w:p>
      <w:pPr>
        <w:pStyle w:val="Heading1"/>
      </w:pPr>
      <w:r>
        <w:t xml:space="preserve">I. Project Overview</w:t>
      </w:r>
    </w:p>
    <w:bookmarkStart w:id="25" w:name="scope-and-purpose"/>
    <w:p>
      <w:pPr>
        <w:pStyle w:val="Heading2"/>
      </w:pPr>
      <w:r>
        <w:t xml:space="preserve">1. Scope and Purpose</w:t>
      </w:r>
    </w:p>
    <w:p>
      <w:pPr>
        <w:pStyle w:val="FirstParagraph"/>
      </w:pPr>
      <w:r>
        <w:t xml:space="preserve">V1 supports workshop booking for Guests and Members, ring design/consultation, workshop deposit-payment records, and the assessment of a customer-designed ring’s difficulty and estimated price. It also supports Member retail of catalogue rings without warehouse inventory management.</w:t>
      </w:r>
    </w:p>
    <w:p>
      <w:pPr>
        <w:pStyle w:val="BodyText"/>
      </w:pPr>
      <w:r>
        <w:t xml:space="preserve">The public catalogue displays each published product and its manually maintained available-to-sell quantity at the time it is viewed; that quantity is not a real-time guarantee. Only Members may use the cart and create retail orders. A Manager maintains products, prices, and available-to-sell quantities, while Staff and Managers record an auditable customer pickup or carrier handoff after payment.</w:t>
      </w:r>
    </w:p>
    <w:p>
      <w:pPr>
        <w:pStyle w:val="BodyText"/>
      </w:pPr>
      <w:r>
        <w:t xml:space="preserve">When a Member views a cart, unavailable or invalid lines are removed and reported. Checkout revalidates the complete cart and creates no partial order. It snapshots each order-item price and holds all required quantities for 15 minutes; an unpaid or expired hold is released. A verified full-payment confirmation from the Payment Gateway completes the retail sale and deducts the held quantities. Payment Gateway provider and contract remain</w:t>
      </w:r>
      <w:r>
        <w:t xml:space="preserve"> </w:t>
      </w:r>
      <w:r>
        <w:rPr>
          <w:rStyle w:val="VerbatimChar"/>
        </w:rPr>
        <w:t xml:space="preserve">TBD</w:t>
      </w:r>
      <w:r>
        <w:t xml:space="preserve">.</w:t>
      </w:r>
    </w:p>
    <w:p>
      <w:pPr>
        <w:pStyle w:val="BodyText"/>
      </w:pPr>
      <w:r>
        <w:t xml:space="preserve">A Member may collect a paid order at the shop or provide recipient and delivery-address details for that order. Carrier fees are outside the order and paid separately to the carrier. The shop’s recorded delivery responsibility ends at the carrier handoff; any carrier API/provider decision remains</w:t>
      </w:r>
      <w:r>
        <w:t xml:space="preserve"> </w:t>
      </w:r>
      <w:r>
        <w:rPr>
          <w:rStyle w:val="VerbatimChar"/>
        </w:rPr>
        <w:t xml:space="preserve">TBD</w:t>
      </w:r>
      <w:r>
        <w:t xml:space="preserve">.</w:t>
      </w:r>
    </w:p>
    <w:p>
      <w:pPr>
        <w:pStyle w:val="BodyText"/>
      </w:pPr>
      <w:r>
        <w:t xml:space="preserve">V1 does not manage warehouse locations, serials, lots, stock movements, procurement, or an inventory ledger. It does not guarantee real-time displayed quantities, support Guest retail checkout, store an address book, calculate shipping quotes, track shipments, handle delivery failures or returns, or provide cancellation, refund, accounting, or payment-reconciliation workflows. Customers seeking cancellation or refund must contact the shop directly.</w:t>
      </w:r>
    </w:p>
    <w:bookmarkEnd w:id="25"/>
    <w:bookmarkStart w:id="28" w:name="assumptions-and-constraints"/>
    <w:p>
      <w:pPr>
        <w:pStyle w:val="Heading2"/>
      </w:pPr>
      <w:r>
        <w:t xml:space="preserve">2. Assumptions and Constraints</w:t>
      </w:r>
    </w:p>
    <w:bookmarkStart w:id="26" w:name="assumptions"/>
    <w:p>
      <w:pPr>
        <w:pStyle w:val="Heading3"/>
      </w:pPr>
      <w:r>
        <w:t xml:space="preserve">Assumptions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constraints"/>
    <w:p>
      <w:pPr>
        <w:pStyle w:val="Heading3"/>
      </w:pPr>
      <w:r>
        <w:t xml:space="preserve">Constraints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End w:id="28"/>
    <w:bookmarkStart w:id="29" w:name="cost-time-estimations"/>
    <w:p>
      <w:pPr>
        <w:pStyle w:val="Heading2"/>
      </w:pPr>
      <w:r>
        <w:t xml:space="preserve">3. Cost &amp; Time Estimations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Work Package</w:t>
            </w:r>
          </w:p>
        </w:tc>
        <w:tc>
          <w:tcPr/>
          <w:p>
            <w:pPr>
              <w:pStyle w:val="Compact"/>
            </w:pPr>
            <w:r>
              <w:t xml:space="preserve">Effort(pds)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Stage 1: . . 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Report 1 . . 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Stage 2: . . 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capacity-planning"/>
    <w:p>
      <w:pPr>
        <w:pStyle w:val="Heading2"/>
      </w:pPr>
      <w:r>
        <w:t xml:space="preserve">4. Capacity Planning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Hours per person per week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Team total per week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 duration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Gross capacity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Buffer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Effective working capacity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project-objectives"/>
    <w:p>
      <w:pPr>
        <w:pStyle w:val="Heading2"/>
      </w:pPr>
      <w:r>
        <w:t xml:space="preserve">5. Project Objectives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Notes/References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risks-and-mitigations"/>
    <w:p>
      <w:pPr>
        <w:pStyle w:val="Heading2"/>
      </w:pPr>
      <w:r>
        <w:t xml:space="preserve">6. Risks and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End w:id="33"/>
    <w:bookmarkStart w:id="43" w:name="ii.-management-approach"/>
    <w:p>
      <w:pPr>
        <w:pStyle w:val="Heading1"/>
      </w:pPr>
      <w:r>
        <w:t xml:space="preserve">II. Management Approach</w:t>
      </w:r>
    </w:p>
    <w:p>
      <w:pPr>
        <w:pStyle w:val="FirstParagraph"/>
      </w:pPr>
      <w:r>
        <w:t xml:space="preserve">The team uses Git-first document sources, reviewable change history, and open-issue tracking. The detailed process and milestones remain subject to approval.</w:t>
      </w:r>
    </w:p>
    <w:bookmarkStart w:id="34" w:name="project-processmethodology"/>
    <w:p>
      <w:pPr>
        <w:pStyle w:val="Heading2"/>
      </w:pPr>
      <w:r>
        <w:t xml:space="preserve">1. Project Process/Methodology</w:t>
      </w:r>
    </w:p>
    <w:bookmarkEnd w:id="34"/>
    <w:bookmarkStart w:id="35" w:name="quality-management"/>
    <w:p>
      <w:pPr>
        <w:pStyle w:val="Heading2"/>
      </w:pPr>
      <w:r>
        <w:t xml:space="preserve">2. Quality Management</w:t>
      </w:r>
    </w:p>
    <w:bookmarkEnd w:id="35"/>
    <w:bookmarkStart w:id="36" w:name="project-training-plan"/>
    <w:p>
      <w:pPr>
        <w:pStyle w:val="Heading2"/>
      </w:pPr>
      <w:r>
        <w:t xml:space="preserve">3. Project Training Plan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 Area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When,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Spring Boot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Git, Github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36"/>
    <w:bookmarkStart w:id="37" w:name="responsibility-assignments"/>
    <w:p>
      <w:pPr>
        <w:pStyle w:val="Heading2"/>
      </w:pPr>
      <w:r>
        <w:t xml:space="preserve">4. Responsibility Assignments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Package</w:t>
            </w:r>
          </w:p>
        </w:tc>
        <w:tc>
          <w:tcPr/>
          <w:p>
            <w:pPr>
              <w:pStyle w:val="Compact"/>
            </w:pPr>
            <w:r>
              <w:t xml:space="preserve">Member1</w:t>
            </w:r>
          </w:p>
        </w:tc>
        <w:tc>
          <w:tcPr/>
          <w:p>
            <w:pPr>
              <w:pStyle w:val="Compact"/>
            </w:pPr>
            <w:r>
              <w:t xml:space="preserve">Member2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Package Name1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t xml:space="preserve">RACI Chart: R~Responsible, A~Accountable, C~Consulted, I~Informed</w:t>
      </w:r>
    </w:p>
    <w:bookmarkEnd w:id="37"/>
    <w:bookmarkStart w:id="38" w:name="project-communications"/>
    <w:p>
      <w:pPr>
        <w:pStyle w:val="Heading2"/>
      </w:pPr>
      <w:r>
        <w:t xml:space="preserve">5. Project Communications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Communication Item</w:t>
            </w:r>
          </w:p>
        </w:tc>
        <w:tc>
          <w:tcPr/>
          <w:p>
            <w:pPr>
              <w:pStyle w:val="Compact"/>
            </w:pPr>
            <w:r>
              <w:t xml:space="preserve">Who/ Target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When, Frequency</w:t>
            </w:r>
          </w:p>
        </w:tc>
        <w:tc>
          <w:tcPr/>
          <w:p>
            <w:pPr>
              <w:pStyle w:val="Compact"/>
            </w:pPr>
            <w:r>
              <w:t xml:space="preserve">Type, Tool, Method(s)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Meeting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42" w:name="configuration-management"/>
    <w:p>
      <w:pPr>
        <w:pStyle w:val="Heading2"/>
      </w:pPr>
      <w:r>
        <w:t xml:space="preserve">6. Configuration Management</w:t>
      </w:r>
    </w:p>
    <w:bookmarkStart w:id="39" w:name="document-management"/>
    <w:p>
      <w:pPr>
        <w:pStyle w:val="Heading3"/>
      </w:pPr>
      <w:r>
        <w:t xml:space="preserve">6.1 Document Management</w:t>
      </w:r>
    </w:p>
    <w:bookmarkEnd w:id="39"/>
    <w:bookmarkStart w:id="40" w:name="source-code-management"/>
    <w:p>
      <w:pPr>
        <w:pStyle w:val="Heading3"/>
      </w:pPr>
      <w:r>
        <w:t xml:space="preserve">6.2 Source Code Management</w:t>
      </w:r>
    </w:p>
    <w:bookmarkEnd w:id="40"/>
    <w:bookmarkStart w:id="41" w:name="tools-infrastructures"/>
    <w:p>
      <w:pPr>
        <w:pStyle w:val="Heading3"/>
      </w:pPr>
      <w:r>
        <w:t xml:space="preserve">6.3 Tools &amp; Infrastructures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Tools/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Techonology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IDEs/Editors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Diagramming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Deployment server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 management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41"/>
    <w:bookmarkEnd w:id="42"/>
    <w:bookmarkEnd w:id="43"/>
    <w:sectPr w:rsidR="00A42875" w:rsidSect="004812DA">
      <w:headerReference r:id="rId7" w:type="even"/>
      <w:headerReference r:id="rId8" w:type="default"/>
      <w:footerReference r:id="rId9" w:type="even"/>
      <w:footerReference r:id="rId10" w:type="default"/>
      <w:headerReference r:id="rId11" w:type="first"/>
      <w:footerReference r:id="rId12" w:type="first"/>
      <w:footnotePr>
        <w:numRestart w:val="eachSect"/>
      </w:footnotePr>
      <w:pgSz w:h="16838" w:w="11906"/>
      <w:pgMar w:bottom="1080" w:footer="504" w:gutter="0" w:header="504" w:left="1080" w:right="1080" w:top="108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409A9" w14:textId="77777777" w:rsidR="00E91597" w:rsidRDefault="00E915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1C77D" w14:textId="77777777" w:rsidR="00E91597" w:rsidRDefault="00E915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F1A8C" w14:textId="77777777" w:rsidR="00E91597" w:rsidRDefault="00E9159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6C787" w14:textId="77777777" w:rsidR="00E91597" w:rsidRDefault="00E915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9BCCA" w14:textId="77777777" w:rsidR="00E91597" w:rsidRDefault="00E915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0E2F5" w14:textId="77777777" w:rsidR="00E91597" w:rsidRDefault="00E91597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8F74ECDE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BC0798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83ACF02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7526D40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2E23F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C57CDA42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51075CC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AD3C423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94D8A87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13E23D9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386CE8A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38B1"/>
    <w:rsid w:val="003038B1"/>
    <w:rsid w:val="004812DA"/>
    <w:rsid w:val="009E4672"/>
    <w:rsid w:val="00A42875"/>
    <w:rsid w:val="00A87D21"/>
    <w:rsid w:val="00CC5403"/>
    <w:rsid w:val="00E91597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spacing w:after="120"/>
    </w:pPr>
    <w:rPr>
      <w:rFonts w:ascii="Arial" w:cs="Arial" w:hAnsi="Arial"/>
      <w:sz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CC5403"/>
    <w:pPr>
      <w:keepNext/>
      <w:keepLines/>
      <w:spacing w:before="360"/>
      <w:outlineLvl w:val="0"/>
    </w:pPr>
    <w:rPr>
      <w:rFonts w:ascii="Calibri Light" w:eastAsiaTheme="majorEastAsia" w:hAnsi="Calibri Light"/>
      <w:b/>
      <w:color w:val="C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80"/>
      <w:outlineLvl w:val="1"/>
    </w:pPr>
    <w:rPr>
      <w:rFonts w:eastAsiaTheme="majorEastAsia"/>
      <w:b/>
      <w:color w:val="1F3864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eastAsiaTheme="majorEastAsia"/>
      <w:b/>
      <w:color w:val="1F3864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eastAsiaTheme="majorEastAsia"/>
      <w:b/>
      <w:i/>
      <w:iCs/>
      <w:color w:val="1F3864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CC5403"/>
    <w:rPr>
      <w:rFonts w:ascii="Calibri Light" w:cs="Arial" w:eastAsiaTheme="majorEastAsia" w:hAnsi="Calibri Light"/>
      <w:b/>
      <w:color w:val="C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Theme="majorEastAsia" w:hAnsi="Arial"/>
      <w:b/>
      <w:color w:val="1F3864"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eastAsiaTheme="majorEastAsia" w:hAnsi="Arial"/>
      <w:b/>
      <w:color w:val="1F3864"/>
      <w:sz w:val="23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eastAsiaTheme="majorEastAsia" w:hAnsi="Arial"/>
      <w:b/>
      <w:i/>
      <w:iCs/>
      <w:color w:val="1F3864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basedOn w:val="TableGrid"/>
    <w:semiHidden/>
    <w:unhideWhenUsed/>
    <w:qFormat/>
    <w:rPr>
      <w:rFonts w:ascii="Arial" w:cs="Arial" w:hAnsi="Arial"/>
      <w:sz w:val="19"/>
      <w:szCs w:val="20"/>
      <w:lang w:eastAsia="ja-JP"/>
    </w:rPr>
    <w:tblPr/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hAnsiTheme="majorHAnsi"/>
      <w:color w:themeColor="accent1" w:themeShade="BF" w:val="0F4761"/>
    </w:rPr>
  </w:style>
  <w:style w:styleId="TableGrid" w:type="table">
    <w:name w:val="Table Grid"/>
    <w:basedOn w:val="TableNormal"/>
    <w:rsid w:val="004812DA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nhideWhenUsed/>
    <w:rsid w:val="00E91597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rsid w:val="00E91597"/>
    <w:rPr>
      <w:rFonts w:ascii="Arial" w:cs="Arial" w:hAnsi="Arial"/>
      <w:sz w:val="20"/>
    </w:rPr>
  </w:style>
  <w:style w:styleId="Footer" w:type="paragraph">
    <w:name w:val="footer"/>
    <w:basedOn w:val="Normal"/>
    <w:link w:val="FooterChar"/>
    <w:unhideWhenUsed/>
    <w:rsid w:val="00E91597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E91597"/>
    <w:rPr>
      <w:rFonts w:ascii="Arial" w:cs="Arial" w:hAnsi="Arial"/>
      <w:sz w:val="20"/>
    </w:rPr>
  </w:style>
  <w:style w:customStyle="1" w:styleId="GuidanceText" w:type="paragraph">
    <w:name w:val="Guidance Text"/>
    <w:basedOn w:val="Normal"/>
  </w:style>
  <w:style w:customStyle="1" w:styleId="CalloutGuidance" w:type="table">
    <w:name w:val="Callout Guidance"/>
    <w:basedOn w:val="TableGrid"/>
    <w:rPr>
      <w:rFonts w:ascii="Arial" w:hAnsi="Arial"/>
      <w:sz w:val="19"/>
    </w:rPr>
    <w:tblPr>
      <w:tblBorders>
        <w:top w:color="5B9BD5" w:space="0" w:sz="6" w:val="single"/>
        <w:left w:color="5B9BD5" w:space="0" w:sz="6" w:val="single"/>
        <w:bottom w:color="5B9BD5" w:space="0" w:sz="6" w:val="single"/>
        <w:right w:color="5B9BD5" w:space="0" w:sz="6" w:val="single"/>
        <w:insideH w:color="5B9BD5" w:space="0" w:sz="6" w:val="single"/>
        <w:insideV w:color="5B9BD5" w:space="0" w:sz="6" w:val="single"/>
      </w:tblBorders>
    </w:tblPr>
    <w:tblStylePr w:type="firstRow">
      <w:tblPr/>
      <w:tcPr>
        <w:shd w:color="auto" w:fill="DBEAF7" w:val="clear"/>
      </w:tcPr>
    </w:tblStylePr>
  </w:style>
  <w:style w:customStyle="1" w:styleId="ExampleText" w:type="paragraph">
    <w:name w:val="Example Text"/>
    <w:basedOn w:val="Normal"/>
  </w:style>
  <w:style w:customStyle="1" w:styleId="CalloutExample" w:type="table">
    <w:name w:val="Callout Example"/>
    <w:basedOn w:val="TableGrid"/>
    <w:rPr>
      <w:rFonts w:ascii="Arial" w:hAnsi="Arial"/>
      <w:sz w:val="19"/>
    </w:rPr>
    <w:tblPr>
      <w:tblBorders>
        <w:top w:color="70AD47" w:space="0" w:sz="6" w:val="single"/>
        <w:left w:color="70AD47" w:space="0" w:sz="6" w:val="single"/>
        <w:bottom w:color="70AD47" w:space="0" w:sz="6" w:val="single"/>
        <w:right w:color="70AD47" w:space="0" w:sz="6" w:val="single"/>
        <w:insideH w:color="70AD47" w:space="0" w:sz="6" w:val="single"/>
        <w:insideV w:color="70AD47" w:space="0" w:sz="6" w:val="single"/>
      </w:tblBorders>
    </w:tblPr>
    <w:tblStylePr w:type="firstRow">
      <w:tblPr/>
      <w:tcPr>
        <w:shd w:color="auto" w:fill="E2F0D9" w:val="clear"/>
      </w:tcPr>
    </w:tblStylePr>
  </w:style>
  <w:style w:customStyle="1" w:styleId="DiagramText" w:type="paragraph">
    <w:name w:val="Diagram Text"/>
    <w:basedOn w:val="Normal"/>
  </w:style>
  <w:style w:customStyle="1" w:styleId="CalloutDiagram" w:type="table">
    <w:name w:val="Callout Diagram"/>
    <w:basedOn w:val="TableGrid"/>
    <w:rPr>
      <w:rFonts w:ascii="Arial" w:hAnsi="Arial"/>
      <w:sz w:val="19"/>
    </w:rPr>
    <w:tblPr>
      <w:tblBorders>
        <w:top w:color="8064A2" w:space="0" w:sz="6" w:val="single"/>
        <w:left w:color="8064A2" w:space="0" w:sz="6" w:val="single"/>
        <w:bottom w:color="8064A2" w:space="0" w:sz="6" w:val="single"/>
        <w:right w:color="8064A2" w:space="0" w:sz="6" w:val="single"/>
        <w:insideH w:color="8064A2" w:space="0" w:sz="6" w:val="single"/>
        <w:insideV w:color="8064A2" w:space="0" w:sz="6" w:val="single"/>
      </w:tblBorders>
    </w:tblPr>
    <w:tblStylePr w:type="firstRow">
      <w:tblPr/>
      <w:tcPr>
        <w:shd w:color="auto" w:fill="E4DFEC" w:val="clear"/>
      </w:tcPr>
    </w:tblStylePr>
  </w:style>
  <w:style w:customStyle="1" w:styleId="ReferenceText" w:type="paragraph">
    <w:name w:val="Reference Text"/>
    <w:basedOn w:val="Normal"/>
  </w:style>
  <w:style w:customStyle="1" w:styleId="CalloutReference" w:type="table">
    <w:name w:val="Callout Reference"/>
    <w:basedOn w:val="TableGrid"/>
    <w:rPr>
      <w:rFonts w:ascii="Arial" w:hAnsi="Arial"/>
      <w:sz w:val="19"/>
    </w:rPr>
    <w:tblPr>
      <w:tblBorders>
        <w:top w:color="7F7F7F" w:space="0" w:sz="6" w:val="single"/>
        <w:left w:color="7F7F7F" w:space="0" w:sz="6" w:val="single"/>
        <w:bottom w:color="7F7F7F" w:space="0" w:sz="6" w:val="single"/>
        <w:right w:color="7F7F7F" w:space="0" w:sz="6" w:val="single"/>
        <w:insideH w:color="7F7F7F" w:space="0" w:sz="6" w:val="single"/>
        <w:insideV w:color="7F7F7F" w:space="0" w:sz="6" w:val="single"/>
      </w:tblBorders>
    </w:tblPr>
    <w:tblStylePr w:type="firstRow">
      <w:tblPr/>
      <w:tcPr>
        <w:shd w:color="auto" w:fill="E7E6E6" w:val="clear"/>
      </w:tcPr>
    </w:tblStylePr>
  </w:style>
  <w:style w:customStyle="1" w:styleId="RequiredText" w:type="paragraph">
    <w:name w:val="Required Text"/>
    <w:basedOn w:val="Normal"/>
  </w:style>
  <w:style w:customStyle="1" w:styleId="CalloutRequired" w:type="table">
    <w:name w:val="Callout Required"/>
    <w:basedOn w:val="TableGrid"/>
    <w:rPr>
      <w:rFonts w:ascii="Arial" w:hAnsi="Arial"/>
      <w:sz w:val="19"/>
    </w:rPr>
    <w:tblPr>
      <w:tblBorders>
        <w:top w:color="C00000" w:space="0" w:sz="6" w:val="single"/>
        <w:left w:color="C00000" w:space="0" w:sz="6" w:val="single"/>
        <w:bottom w:color="C00000" w:space="0" w:sz="6" w:val="single"/>
        <w:right w:color="C00000" w:space="0" w:sz="6" w:val="single"/>
        <w:insideH w:color="C00000" w:space="0" w:sz="6" w:val="single"/>
        <w:insideV w:color="C00000" w:space="0" w:sz="6" w:val="single"/>
      </w:tblBorders>
    </w:tblPr>
    <w:tblStylePr w:type="firstRow">
      <w:tblPr/>
      <w:tcPr>
        <w:shd w:color="auto" w:fill="FCE4D6" w:val="clear"/>
      </w:tcPr>
    </w:tblStylePr>
  </w:style>
  <w:style w:customStyle="1" w:styleId="CautionText" w:type="paragraph">
    <w:name w:val="Caution Text"/>
    <w:basedOn w:val="Normal"/>
  </w:style>
  <w:style w:customStyle="1" w:styleId="CalloutCaution" w:type="table">
    <w:name w:val="Callout Caution"/>
    <w:basedOn w:val="TableGrid"/>
    <w:rPr>
      <w:rFonts w:ascii="Arial" w:hAnsi="Arial"/>
      <w:sz w:val="19"/>
    </w:rPr>
    <w:tblPr>
      <w:tblBorders>
        <w:top w:color="BF9000" w:space="0" w:sz="6" w:val="single"/>
        <w:left w:color="BF9000" w:space="0" w:sz="6" w:val="single"/>
        <w:bottom w:color="BF9000" w:space="0" w:sz="6" w:val="single"/>
        <w:right w:color="BF9000" w:space="0" w:sz="6" w:val="single"/>
        <w:insideH w:color="BF9000" w:space="0" w:sz="6" w:val="single"/>
        <w:insideV w:color="BF9000" w:space="0" w:sz="6" w:val="single"/>
      </w:tblBorders>
    </w:tblPr>
    <w:tblStylePr w:type="firstRow">
      <w:tblPr/>
      <w:tcPr>
        <w:shd w:color="auto" w:fill="FFF2CC" w:val="clear"/>
      </w:tcPr>
    </w:tblStylePr>
  </w:style>
  <w:style w:customStyle="1" w:styleId="DataTable" w:type="table">
    <w:name w:val="Data Table"/>
    <w:basedOn w:val="TableGrid"/>
    <w:rPr>
      <w:rFonts w:ascii="Arial" w:hAnsi="Arial"/>
      <w:sz w:val="19"/>
    </w:rPr>
    <w:tblPr>
      <w:tblBorders>
        <w:top w:color="7F7F7F" w:space="0" w:sz="6" w:val="single"/>
        <w:left w:color="7F7F7F" w:space="0" w:sz="6" w:val="single"/>
        <w:bottom w:color="7F7F7F" w:space="0" w:sz="6" w:val="single"/>
        <w:right w:color="7F7F7F" w:space="0" w:sz="6" w:val="single"/>
        <w:insideH w:color="7F7F7F" w:space="0" w:sz="6" w:val="single"/>
        <w:insideV w:color="7F7F7F" w:space="0" w:sz="6" w:val="single"/>
      </w:tblBorders>
    </w:tblPr>
    <w:tblStylePr w:type="firstRow">
      <w:tblPr/>
      <w:tcPr>
        <w:shd w:color="auto" w:fill="D9E2F3" w:val="clear"/>
      </w:tcPr>
    </w:tblStylePr>
  </w:style>
  <w:style w:customStyle="1" w:styleId="MetadataTable" w:type="table">
    <w:name w:val="Metadata Table"/>
    <w:basedOn w:val="TableGrid"/>
    <w:rPr>
      <w:rFonts w:ascii="Arial" w:hAnsi="Arial"/>
      <w:sz w:val="19"/>
    </w:rPr>
    <w:tblPr>
      <w:tblBorders>
        <w:top w:color="5B9BD5" w:space="0" w:sz="6" w:val="single"/>
        <w:left w:color="5B9BD5" w:space="0" w:sz="6" w:val="single"/>
        <w:bottom w:color="5B9BD5" w:space="0" w:sz="6" w:val="single"/>
        <w:right w:color="5B9BD5" w:space="0" w:sz="6" w:val="single"/>
        <w:insideH w:color="5B9BD5" w:space="0" w:sz="6" w:val="single"/>
        <w:insideV w:color="5B9BD5" w:space="0" w:sz="6" w:val="single"/>
      </w:tblBorders>
    </w:tblPr>
    <w:tblStylePr w:type="firstRow">
      <w:tblPr/>
      <w:tcPr>
        <w:shd w:color="auto" w:fill="D9E2F3" w:val="clear"/>
      </w:tcPr>
    </w:tblStylePr>
  </w:style>
  <w:style w:customStyle="1" w:styleId="ChangeHistory" w:type="table">
    <w:name w:val="Change History"/>
    <w:basedOn w:val="TableGrid"/>
    <w:rPr>
      <w:rFonts w:ascii="Arial" w:hAnsi="Arial"/>
      <w:sz w:val="19"/>
    </w:rPr>
    <w:tblPr>
      <w:tblBorders>
        <w:top w:color="5B9BD5" w:space="0" w:sz="6" w:val="single"/>
        <w:left w:color="5B9BD5" w:space="0" w:sz="6" w:val="single"/>
        <w:bottom w:color="5B9BD5" w:space="0" w:sz="6" w:val="single"/>
        <w:right w:color="5B9BD5" w:space="0" w:sz="6" w:val="single"/>
        <w:insideH w:color="5B9BD5" w:space="0" w:sz="6" w:val="single"/>
        <w:insideV w:color="5B9BD5" w:space="0" w:sz="6" w:val="single"/>
      </w:tblBorders>
    </w:tblPr>
    <w:tblStylePr w:type="firstRow">
      <w:tblPr/>
      <w:tcPr>
        <w:shd w:color="auto" w:fill="D9E2F3" w:val="clear"/>
      </w:tcPr>
    </w:tblStylePr>
  </w:style>
  <w:style w:customStyle="1" w:styleId="Placeholder" w:type="character">
    <w:name w:val="Placeholder"/>
    <w:rPr>
      <w:rFonts w:ascii="Arial" w:hAnsi="Arial"/>
      <w:i/>
      <w:color w:val="7F7F7F"/>
      <w:sz w:val="20"/>
    </w:rPr>
  </w:style>
  <w:style w:customStyle="1" w:styleId="BodyTextChar" w:type="character">
    <w:name w:val="Body Text Char"/>
    <w:basedOn w:val="DefaultParagraphFont"/>
    <w:link w:val="BodyText"/>
    <w:rsid w:val="00CC5403"/>
    <w:rPr>
      <w:rFonts w:ascii="Arial" w:cs="Arial" w:hAnsi="Arial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8" Target="header2.xml" Type="http://schemas.openxmlformats.org/officeDocument/2006/relationships/header" /><Relationship Id="rId7" Target="header1.xml" Type="http://schemas.openxmlformats.org/officeDocument/2006/relationships/header" /><Relationship Id="rId12" Target="footer3.xml" Type="http://schemas.openxmlformats.org/officeDocument/2006/relationships/footer" /><Relationship Id="rId11" Target="header3.xml" Type="http://schemas.openxmlformats.org/officeDocument/2006/relationships/header" /><Relationship Id="rId10" Target="footer2.xml" Type="http://schemas.openxmlformats.org/officeDocument/2006/relationships/foot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2026-10-03T08:14:14Z</dcterms:created>
  <dcterms:modified xsi:type="dcterms:W3CDTF">2026-10-03T08:14:14Z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