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vision-scope-document"/>
    <w:p>
      <w:pPr>
        <w:pStyle w:val="Heading1"/>
      </w:pPr>
      <w:r>
        <w:t xml:space="preserve">Vision &amp; Scope Document</w:t>
      </w:r>
    </w:p>
    <w:p>
      <w:pPr>
        <w:pStyle w:val="FirstParagraph"/>
      </w:pPr>
      <w:r>
        <w:rPr>
          <w:b/>
          <w:bCs/>
        </w:rPr>
        <w:t xml:space="preserve">Mland Operations Hub (MOH) — Report 1</w:t>
      </w:r>
    </w:p>
    <w:p>
      <w:pPr>
        <w:pStyle w:val="BlockText"/>
      </w:pPr>
      <w:r>
        <w:rPr>
          <w:b/>
          <w:bCs/>
        </w:rPr>
        <w:t xml:space="preserve">Illustrative demo only.</w:t>
      </w:r>
      <w:r>
        <w:t xml:space="preserve"> </w:t>
      </w:r>
      <w:r>
        <w:t xml:space="preserve">This document demonstrates an AI-assisted documentation workflow. Details supplied in the Mland brief are treated as project context; proposed scope, targets, and all performance metrics are fictional and require validation before production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 Name</w:t>
            </w:r>
          </w:p>
        </w:tc>
        <w:tc>
          <w:tcPr/>
          <w:p>
            <w:pPr>
              <w:pStyle w:val="Compact"/>
            </w:pPr>
            <w:r>
              <w:t xml:space="preserve">Mland Operations Hub</w:t>
            </w:r>
          </w:p>
        </w:tc>
      </w:tr>
      <w:tr>
        <w:tc>
          <w:tcPr/>
          <w:p>
            <w:pPr>
              <w:pStyle w:val="Compact"/>
            </w:pPr>
            <w:r>
              <w:rPr>
                <w:b/>
                <w:bCs/>
              </w:rPr>
              <w:t xml:space="preserve">Project Code</w:t>
            </w:r>
          </w:p>
        </w:tc>
        <w:tc>
          <w:tcPr/>
          <w:p>
            <w:pPr>
              <w:pStyle w:val="Compact"/>
            </w:pPr>
            <w:r>
              <w:t xml:space="preserve">MOH</w:t>
            </w:r>
          </w:p>
        </w:tc>
      </w:tr>
      <w:tr>
        <w:tc>
          <w:tcPr/>
          <w:p>
            <w:pPr>
              <w:pStyle w:val="Compact"/>
            </w:pPr>
            <w:r>
              <w:rPr>
                <w:b/>
                <w:bCs/>
              </w:rPr>
              <w:t xml:space="preserve">Version</w:t>
            </w:r>
          </w:p>
        </w:tc>
        <w:tc>
          <w:tcPr/>
          <w:p>
            <w:pPr>
              <w:pStyle w:val="Compact"/>
            </w:pPr>
            <w:r>
              <w:t xml:space="preserve">v0.1-demo</w:t>
            </w:r>
          </w:p>
        </w:tc>
      </w:tr>
      <w:tr>
        <w:tc>
          <w:tcPr/>
          <w:p>
            <w:pPr>
              <w:pStyle w:val="Compact"/>
            </w:pPr>
            <w:r>
              <w:rPr>
                <w:b/>
                <w:bCs/>
              </w:rPr>
              <w:t xml:space="preserve">Date Created</w:t>
            </w:r>
          </w:p>
        </w:tc>
        <w:tc>
          <w:tcPr/>
          <w:p>
            <w:pPr>
              <w:pStyle w:val="Compact"/>
            </w:pPr>
            <w:r>
              <w:t xml:space="preserve">08 September 2026</w:t>
            </w:r>
          </w:p>
        </w:tc>
      </w:tr>
      <w:tr>
        <w:tc>
          <w:tcPr/>
          <w:p>
            <w:pPr>
              <w:pStyle w:val="Compact"/>
            </w:pPr>
            <w:r>
              <w:rPr>
                <w:b/>
                <w:bCs/>
              </w:rPr>
              <w:t xml:space="preserve">Last Updated</w:t>
            </w:r>
          </w:p>
        </w:tc>
        <w:tc>
          <w:tcPr/>
          <w:p>
            <w:pPr>
              <w:pStyle w:val="Compact"/>
            </w:pPr>
            <w:r>
              <w:t xml:space="preserve">08 September 2026</w:t>
            </w:r>
          </w:p>
        </w:tc>
      </w:tr>
      <w:tr>
        <w:tc>
          <w:tcPr/>
          <w:p>
            <w:pPr>
              <w:pStyle w:val="Compact"/>
            </w:pPr>
            <w:r>
              <w:rPr>
                <w:b/>
                <w:bCs/>
              </w:rPr>
              <w:t xml:space="preserve">Author(s)</w:t>
            </w:r>
          </w:p>
        </w:tc>
        <w:tc>
          <w:tcPr/>
          <w:p>
            <w:pPr>
              <w:pStyle w:val="Compact"/>
            </w:pPr>
            <w:r>
              <w:t xml:space="preserve">MOH Demo Team</w:t>
            </w:r>
          </w:p>
        </w:tc>
      </w:tr>
      <w:tr>
        <w:tc>
          <w:tcPr/>
          <w:p>
            <w:pPr>
              <w:pStyle w:val="Compact"/>
            </w:pPr>
            <w:r>
              <w:rPr>
                <w:b/>
                <w:bCs/>
              </w:rPr>
              <w:t xml:space="preserve">Reviewer(s)</w:t>
            </w:r>
          </w:p>
        </w:tc>
        <w:tc>
          <w:tcPr/>
          <w:p>
            <w:pPr>
              <w:pStyle w:val="Compact"/>
            </w:pPr>
            <w:r>
              <w:t xml:space="preserve">Not assigned</w:t>
            </w:r>
          </w:p>
        </w:tc>
      </w:tr>
      <w:tr>
        <w:tc>
          <w:tcPr/>
          <w:p>
            <w:pPr>
              <w:pStyle w:val="Compact"/>
            </w:pPr>
            <w:r>
              <w:rPr>
                <w:b/>
                <w:bCs/>
              </w:rPr>
              <w:t xml:space="preserve">Status</w:t>
            </w:r>
          </w:p>
        </w:tc>
        <w:tc>
          <w:tcPr/>
          <w:p>
            <w:pPr>
              <w:pStyle w:val="Compact"/>
            </w:pPr>
            <w:r>
              <w:t xml:space="preserve">Illustrative demo</w:t>
            </w:r>
          </w:p>
        </w:tc>
      </w:tr>
    </w:tbl>
    <w:bookmarkEnd w:id="22"/>
    <w:bookmarkStart w:id="23" w:name="document-change-history"/>
    <w:p>
      <w:pPr>
        <w:pStyle w:val="Heading1"/>
      </w:pPr>
      <w:r>
        <w:t xml:space="preserve">Document Change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v0.1-demo</w:t>
            </w:r>
          </w:p>
        </w:tc>
        <w:tc>
          <w:tcPr/>
          <w:p>
            <w:pPr>
              <w:pStyle w:val="Compact"/>
            </w:pPr>
            <w:r>
              <w:t xml:space="preserve">08 September 2026</w:t>
            </w:r>
          </w:p>
        </w:tc>
        <w:tc>
          <w:tcPr/>
          <w:p>
            <w:pPr>
              <w:pStyle w:val="Compact"/>
            </w:pPr>
            <w:r>
              <w:t xml:space="preserve">Initial illustrative demo</w:t>
            </w:r>
          </w:p>
        </w:tc>
      </w:tr>
    </w:tbl>
    <w:bookmarkEnd w:id="23"/>
    <w:bookmarkStart w:id="24" w:name="product-background"/>
    <w:p>
      <w:pPr>
        <w:pStyle w:val="Heading1"/>
      </w:pPr>
      <w:r>
        <w:t xml:space="preserve">1. Product Background</w:t>
      </w:r>
    </w:p>
    <w:p>
      <w:pPr>
        <w:pStyle w:val="FirstParagraph"/>
      </w:pPr>
      <w:r>
        <w:t xml:space="preserve">Mland is a jewellery-making workshop specialising in guided silver-ring experiences and the sale of other jewellery items. It serves domestic and international visitors, with guests commonly arriving from the United Kingdom, France, Germany, and Vietnam. Mland currently receives customers at two locations, is considering a third location in Da Nang, and handles approximately 20–30 customers per day at each location. Each location has at least two customer-service staff members.</w:t>
      </w:r>
    </w:p>
    <w:p>
      <w:pPr>
        <w:pStyle w:val="BodyText"/>
      </w:pPr>
      <w:r>
        <w:t xml:space="preserve">Today, essential operating work is fragmented across messages, calls, and manual records. A customer who wants to reserve a workshop session must contact the business directly, while staff learn shift assignments through messages. As locations increase, the owner has no single operational view of expected customers, staff coverage, booking changes, or who made a change. This creates avoidable coordination work and makes later audit difficult.</w:t>
      </w:r>
    </w:p>
    <w:p>
      <w:pPr>
        <w:pStyle w:val="BodyText"/>
      </w:pPr>
      <w:r>
        <w:t xml:space="preserve">Mland needs a practical way to standardise booking and shift operations before opening another location. The immediate opportunity is not to replace every business system, but to establish one reliable source of operational truth for customer reservations, staff schedules, and traceable day-to-day changes across locations.</w:t>
      </w:r>
    </w:p>
    <w:bookmarkEnd w:id="24"/>
    <w:bookmarkStart w:id="27" w:name="existing-solutions"/>
    <w:p>
      <w:pPr>
        <w:pStyle w:val="Heading1"/>
      </w:pPr>
      <w:r>
        <w:t xml:space="preserve">2. Existing Solutions</w:t>
      </w:r>
    </w:p>
    <w:p>
      <w:pPr>
        <w:pStyle w:val="FirstParagraph"/>
      </w:pPr>
      <w:r>
        <w:t xml:space="preserve">The following entries are fictional, representative current-state alternatives used only for this illustrative demo. They are not market research or endorsements.</w:t>
      </w:r>
    </w:p>
    <w:bookmarkStart w:id="25" w:name="manual-multi-channel-coordination"/>
    <w:p>
      <w:pPr>
        <w:pStyle w:val="Heading2"/>
      </w:pPr>
      <w:r>
        <w:t xml:space="preserve">2.1 Manual Multi-Channel Coordination</w:t>
      </w:r>
    </w:p>
    <w:p>
      <w:pPr>
        <w:pStyle w:val="FirstParagraph"/>
      </w:pPr>
      <w:r>
        <w:t xml:space="preserve">This representative workaround combines phone calls, direct messages, and spreadsheets to record customer bookings and communicate staff shifts. It is familiar to small workshop teams because it can begin immediately with tools they already use, but every location maintains context separately and staff must reconcile information manually.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Website / Link</w:t>
            </w:r>
          </w:p>
        </w:tc>
        <w:tc>
          <w:tcPr/>
          <w:p>
            <w:pPr>
              <w:pStyle w:val="Compact"/>
            </w:pPr>
            <w:r>
              <w:t xml:space="preserve">N/A — representative manual process</w:t>
            </w:r>
          </w:p>
        </w:tc>
      </w:tr>
      <w:tr>
        <w:tc>
          <w:tcPr/>
          <w:p>
            <w:pPr>
              <w:pStyle w:val="Compact"/>
            </w:pPr>
            <w:r>
              <w:t xml:space="preserve">Target Users</w:t>
            </w:r>
          </w:p>
        </w:tc>
        <w:tc>
          <w:tcPr/>
          <w:p>
            <w:pPr>
              <w:pStyle w:val="Compact"/>
            </w:pPr>
            <w:r>
              <w:t xml:space="preserve">Small on-site teams coordinating bookings and shifts informally</w:t>
            </w:r>
          </w:p>
        </w:tc>
      </w:tr>
      <w:tr>
        <w:tc>
          <w:tcPr/>
          <w:p>
            <w:pPr>
              <w:pStyle w:val="Compact"/>
            </w:pPr>
            <w:r>
              <w:t xml:space="preserve">Core Features</w:t>
            </w:r>
          </w:p>
        </w:tc>
        <w:tc>
          <w:tcPr/>
          <w:p>
            <w:pPr>
              <w:pStyle w:val="Compact"/>
            </w:pPr>
            <w:r>
              <w:t xml:space="preserve">Calls/messages for booking requests; messages for shift assignments; spreadsheets or notes for records</w:t>
            </w:r>
          </w:p>
        </w:tc>
      </w:tr>
      <w:tr>
        <w:tc>
          <w:tcPr/>
          <w:p>
            <w:pPr>
              <w:pStyle w:val="Compact"/>
            </w:pPr>
            <w:r>
              <w:t xml:space="preserve">Strengths</w:t>
            </w:r>
          </w:p>
        </w:tc>
        <w:tc>
          <w:tcPr/>
          <w:p>
            <w:pPr>
              <w:pStyle w:val="Compact"/>
            </w:pPr>
            <w:r>
              <w:t xml:space="preserve">Low initial cost, flexible conversation with customers, and no formal training requirement</w:t>
            </w:r>
          </w:p>
        </w:tc>
      </w:tr>
      <w:tr>
        <w:tc>
          <w:tcPr/>
          <w:p>
            <w:pPr>
              <w:pStyle w:val="Compact"/>
            </w:pPr>
            <w:r>
              <w:t xml:space="preserve">Weaknesses</w:t>
            </w:r>
          </w:p>
        </w:tc>
        <w:tc>
          <w:tcPr/>
          <w:p>
            <w:pPr>
              <w:pStyle w:val="Compact"/>
            </w:pPr>
            <w:r>
              <w:t xml:space="preserve">No shared availability view, inconsistent records, no controlled change history, and high dependence on individual staff members</w:t>
            </w:r>
          </w:p>
        </w:tc>
      </w:tr>
      <w:tr>
        <w:tc>
          <w:tcPr/>
          <w:p>
            <w:pPr>
              <w:pStyle w:val="Compact"/>
            </w:pPr>
            <w:r>
              <w:t xml:space="preserve">GAP for this project</w:t>
            </w:r>
          </w:p>
        </w:tc>
        <w:tc>
          <w:tcPr/>
          <w:p>
            <w:pPr>
              <w:pStyle w:val="Compact"/>
            </w:pPr>
            <w:r>
              <w:t xml:space="preserve">It cannot provide a location-aware booking schedule, transparent staff coverage, or an auditable record of operational changes across Mland locations.</w:t>
            </w:r>
          </w:p>
        </w:tc>
      </w:tr>
    </w:tbl>
    <w:bookmarkEnd w:id="25"/>
    <w:bookmarkStart w:id="26" w:name="generic-calendar-and-booking-tools"/>
    <w:p>
      <w:pPr>
        <w:pStyle w:val="Heading2"/>
      </w:pPr>
      <w:r>
        <w:t xml:space="preserve">2.2 Generic Calendar and Booking Tools</w:t>
      </w:r>
    </w:p>
    <w:p>
      <w:pPr>
        <w:pStyle w:val="FirstParagraph"/>
      </w:pPr>
      <w:r>
        <w:t xml:space="preserve">This representative category covers standalone calendars and appointment tools that let a business expose time slots and collect reservations. Such tools can improve booking visibility, but they are usually configured around appointments rather than a multi-location workshop operation with staff scheduling and accountable operational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Website / Link</w:t>
            </w:r>
          </w:p>
        </w:tc>
        <w:tc>
          <w:tcPr/>
          <w:p>
            <w:pPr>
              <w:pStyle w:val="Compact"/>
            </w:pPr>
            <w:r>
              <w:t xml:space="preserve">N/A — representative tool category</w:t>
            </w:r>
          </w:p>
        </w:tc>
      </w:tr>
      <w:tr>
        <w:tc>
          <w:tcPr/>
          <w:p>
            <w:pPr>
              <w:pStyle w:val="Compact"/>
            </w:pPr>
            <w:r>
              <w:t xml:space="preserve">Target Users</w:t>
            </w:r>
          </w:p>
        </w:tc>
        <w:tc>
          <w:tcPr/>
          <w:p>
            <w:pPr>
              <w:pStyle w:val="Compact"/>
            </w:pPr>
            <w:r>
              <w:t xml:space="preserve">Businesses that need basic appointment calendars or booking forms</w:t>
            </w:r>
          </w:p>
        </w:tc>
      </w:tr>
      <w:tr>
        <w:tc>
          <w:tcPr/>
          <w:p>
            <w:pPr>
              <w:pStyle w:val="Compact"/>
            </w:pPr>
            <w:r>
              <w:t xml:space="preserve">Core Features</w:t>
            </w:r>
          </w:p>
        </w:tc>
        <w:tc>
          <w:tcPr/>
          <w:p>
            <w:pPr>
              <w:pStyle w:val="Compact"/>
            </w:pPr>
            <w:r>
              <w:t xml:space="preserve">Time-slot display, customer reservation capture, calendar reminders, and basic availability management</w:t>
            </w:r>
          </w:p>
        </w:tc>
      </w:tr>
      <w:tr>
        <w:tc>
          <w:tcPr/>
          <w:p>
            <w:pPr>
              <w:pStyle w:val="Compact"/>
            </w:pPr>
            <w:r>
              <w:t xml:space="preserve">Strengths</w:t>
            </w:r>
          </w:p>
        </w:tc>
        <w:tc>
          <w:tcPr/>
          <w:p>
            <w:pPr>
              <w:pStyle w:val="Compact"/>
            </w:pPr>
            <w:r>
              <w:t xml:space="preserve">Faster self-service booking and a clearer customer-facing calendar than manual messaging</w:t>
            </w:r>
          </w:p>
        </w:tc>
      </w:tr>
      <w:tr>
        <w:tc>
          <w:tcPr/>
          <w:p>
            <w:pPr>
              <w:pStyle w:val="Compact"/>
            </w:pPr>
            <w:r>
              <w:t xml:space="preserve">Weaknesses</w:t>
            </w:r>
          </w:p>
        </w:tc>
        <w:tc>
          <w:tcPr/>
          <w:p>
            <w:pPr>
              <w:pStyle w:val="Compact"/>
            </w:pPr>
            <w:r>
              <w:t xml:space="preserve">Limited connection to staff shift coverage, location operations, and an owner-facing audit trail</w:t>
            </w:r>
          </w:p>
        </w:tc>
      </w:tr>
      <w:tr>
        <w:tc>
          <w:tcPr/>
          <w:p>
            <w:pPr>
              <w:pStyle w:val="Compact"/>
            </w:pPr>
            <w:r>
              <w:t xml:space="preserve">GAP for this project</w:t>
            </w:r>
          </w:p>
        </w:tc>
        <w:tc>
          <w:tcPr/>
          <w:p>
            <w:pPr>
              <w:pStyle w:val="Compact"/>
            </w:pPr>
            <w:r>
              <w:t xml:space="preserve">It does not create one operational workspace that relates customer bookings, staff schedules, location status, and traceable changes.</w:t>
            </w:r>
          </w:p>
        </w:tc>
      </w:tr>
    </w:tbl>
    <w:p>
      <w:pPr>
        <w:pStyle w:val="BodyText"/>
      </w:pPr>
      <w:r>
        <w:t xml:space="preserve">Neither alternative solves Mland’s full operational problem. Manual coordination is flexible but opaque; a generic booking calendar improves customer booking but leaves staff scheduling and accountability disconnected. MOH is proposed to close the shared multi-location operating gap without expanding v1 into a complete sales or inventory platform.</w:t>
      </w:r>
    </w:p>
    <w:bookmarkEnd w:id="26"/>
    <w:bookmarkEnd w:id="27"/>
    <w:bookmarkStart w:id="31" w:name="proposed-solution"/>
    <w:p>
      <w:pPr>
        <w:pStyle w:val="Heading1"/>
      </w:pPr>
      <w:r>
        <w:t xml:space="preserve">3. Proposed Solution</w:t>
      </w:r>
    </w:p>
    <w:p>
      <w:pPr>
        <w:pStyle w:val="FirstParagraph"/>
      </w:pPr>
      <w:r>
        <w:t xml:space="preserve">Mland Operations Hub (MOH) is a proposed operational workspace for Mland’s workshop locations. It gives customers a structured way to request an available session at a chosen location and gives staff a shared place to manage reservations, attendance, and shifts. The owner can view operational activity across the current locations and a future Da Nang location from one place.</w:t>
      </w:r>
    </w:p>
    <w:p>
      <w:pPr>
        <w:pStyle w:val="BodyText"/>
      </w:pPr>
      <w:r>
        <w:t xml:space="preserve">MOH closes the three gaps identified above: it replaces fragmented booking requests with location-aware availability, replaces message-only shift coordination with a shared schedule, and records important operating changes in an audit trail. It is intentionally focused on the workshop journey rather than on payments, point-of-sale, or full inventory management.</w:t>
      </w:r>
    </w:p>
    <w:p>
      <w:pPr>
        <w:pStyle w:val="BodyText"/>
      </w:pPr>
      <w:r>
        <w:t xml:space="preserve">For customers, the proposed experience reduces uncertainty around whether a workshop session is available. For staff, it makes the daily schedule visible before a shift begins. For the owner, it creates a clearer basis for planning coverage and investigating booking or schedule changes when the business operates across multiple locations.</w:t>
      </w:r>
    </w:p>
    <w:p>
      <w:pPr>
        <w:pStyle w:val="CaptionedFigure"/>
      </w:pPr>
      <w:r>
        <w:drawing>
          <wp:inline>
            <wp:extent cx="6184900" cy="1715970"/>
            <wp:effectExtent b="0" l="0" r="0" t="0"/>
            <wp:docPr descr="MOH operational context" title="" id="29" name="Picture"/>
            <a:graphic>
              <a:graphicData uri="http://schemas.openxmlformats.org/drawingml/2006/picture">
                <pic:pic>
                  <pic:nvPicPr>
                    <pic:cNvPr descr="assets/8f56fe5a0acdbe1212f43408ca08e042e162d881aca73f3ab65c6cb9704b7707.png" id="30" name="Picture"/>
                    <pic:cNvPicPr>
                      <a:picLocks noChangeArrowheads="1" noChangeAspect="1"/>
                    </pic:cNvPicPr>
                  </pic:nvPicPr>
                  <pic:blipFill>
                    <a:blip r:embed="rId28"/>
                    <a:stretch>
                      <a:fillRect/>
                    </a:stretch>
                  </pic:blipFill>
                  <pic:spPr bwMode="auto">
                    <a:xfrm>
                      <a:off x="0" y="0"/>
                      <a:ext cx="6184900" cy="1715970"/>
                    </a:xfrm>
                    <a:prstGeom prst="rect">
                      <a:avLst/>
                    </a:prstGeom>
                    <a:noFill/>
                    <a:ln w="9525">
                      <a:noFill/>
                      <a:headEnd/>
                      <a:tailEnd/>
                    </a:ln>
                  </pic:spPr>
                </pic:pic>
              </a:graphicData>
            </a:graphic>
          </wp:inline>
        </w:drawing>
      </w:r>
    </w:p>
    <w:p>
      <w:pPr>
        <w:pStyle w:val="ImageCaption"/>
      </w:pPr>
      <w:r>
        <w:t xml:space="preserve">MOH operational context</w:t>
      </w:r>
    </w:p>
    <w:bookmarkEnd w:id="31"/>
    <w:bookmarkStart w:id="34" w:name="project-scope-limitations"/>
    <w:p>
      <w:pPr>
        <w:pStyle w:val="Heading1"/>
      </w:pPr>
      <w:r>
        <w:t xml:space="preserve">4. Project Scope &amp; Limitations</w:t>
      </w:r>
    </w:p>
    <w:p>
      <w:pPr>
        <w:pStyle w:val="FirstParagraph"/>
      </w:pPr>
      <w:r>
        <w:t xml:space="preserve">Version 1 is limited to the operational workflows directly connected to booking, staffing, visibility, and auditability. Every feature below addresses a gap from Section 2. Financial transactions, retail sales, stock control, loyalty, and advanced optimisation are deliberately outside this first scope.</w:t>
      </w:r>
    </w:p>
    <w:bookmarkStart w:id="32" w:name="major-features"/>
    <w:p>
      <w:pPr>
        <w:pStyle w:val="Heading2"/>
      </w:pPr>
      <w:r>
        <w:t xml:space="preserve">4.1 Major Features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Feature Name</w:t>
            </w:r>
          </w:p>
        </w:tc>
        <w:tc>
          <w:tcPr/>
          <w:p>
            <w:pPr>
              <w:pStyle w:val="Compact"/>
            </w:pPr>
            <w:r>
              <w:t xml:space="preserve">Description</w:t>
            </w:r>
          </w:p>
        </w:tc>
        <w:tc>
          <w:tcPr/>
          <w:p>
            <w:pPr>
              <w:pStyle w:val="Compact"/>
            </w:pPr>
            <w:r>
              <w:t xml:space="preserve">Addresses Gap</w:t>
            </w:r>
          </w:p>
        </w:tc>
      </w:tr>
      <w:tr>
        <w:tc>
          <w:tcPr/>
          <w:p>
            <w:pPr>
              <w:pStyle w:val="Compact"/>
            </w:pPr>
            <w:r>
              <w:t xml:space="preserve">FE-01</w:t>
            </w:r>
          </w:p>
        </w:tc>
        <w:tc>
          <w:tcPr/>
          <w:p>
            <w:pPr>
              <w:pStyle w:val="Compact"/>
            </w:pPr>
            <w:r>
              <w:t xml:space="preserve">Location and Slot Management</w:t>
            </w:r>
          </w:p>
        </w:tc>
        <w:tc>
          <w:tcPr/>
          <w:p>
            <w:pPr>
              <w:pStyle w:val="Compact"/>
            </w:pPr>
            <w:r>
              <w:t xml:space="preserve">Staff define workshop locations, session windows, capacity, and bookable availability for each operating day.</w:t>
            </w:r>
          </w:p>
        </w:tc>
        <w:tc>
          <w:tcPr/>
          <w:p>
            <w:pPr>
              <w:pStyle w:val="Compact"/>
            </w:pPr>
            <w:r>
              <w:t xml:space="preserve">GAP-01</w:t>
            </w:r>
          </w:p>
        </w:tc>
      </w:tr>
      <w:tr>
        <w:tc>
          <w:tcPr/>
          <w:p>
            <w:pPr>
              <w:pStyle w:val="Compact"/>
            </w:pPr>
            <w:r>
              <w:t xml:space="preserve">FE-02</w:t>
            </w:r>
          </w:p>
        </w:tc>
        <w:tc>
          <w:tcPr/>
          <w:p>
            <w:pPr>
              <w:pStyle w:val="Compact"/>
            </w:pPr>
            <w:r>
              <w:t xml:space="preserve">Customer Self-Service Booking</w:t>
            </w:r>
          </w:p>
        </w:tc>
        <w:tc>
          <w:tcPr/>
          <w:p>
            <w:pPr>
              <w:pStyle w:val="Compact"/>
            </w:pPr>
            <w:r>
              <w:t xml:space="preserve">Customers choose a location and available session slot, then submit a booking request without relying on a call or direct message.</w:t>
            </w:r>
          </w:p>
        </w:tc>
        <w:tc>
          <w:tcPr/>
          <w:p>
            <w:pPr>
              <w:pStyle w:val="Compact"/>
            </w:pPr>
            <w:r>
              <w:t xml:space="preserve">GAP-01</w:t>
            </w:r>
          </w:p>
        </w:tc>
      </w:tr>
      <w:tr>
        <w:tc>
          <w:tcPr/>
          <w:p>
            <w:pPr>
              <w:pStyle w:val="Compact"/>
            </w:pPr>
            <w:r>
              <w:t xml:space="preserve">FE-03</w:t>
            </w:r>
          </w:p>
        </w:tc>
        <w:tc>
          <w:tcPr/>
          <w:p>
            <w:pPr>
              <w:pStyle w:val="Compact"/>
            </w:pPr>
            <w:r>
              <w:t xml:space="preserve">Booking Administration and Attendance</w:t>
            </w:r>
          </w:p>
        </w:tc>
        <w:tc>
          <w:tcPr/>
          <w:p>
            <w:pPr>
              <w:pStyle w:val="Compact"/>
            </w:pPr>
            <w:r>
              <w:t xml:space="preserve">Staff confirm, update, cancel, and mark attendance for reservations from one shared operational record.</w:t>
            </w:r>
          </w:p>
        </w:tc>
        <w:tc>
          <w:tcPr/>
          <w:p>
            <w:pPr>
              <w:pStyle w:val="Compact"/>
            </w:pPr>
            <w:r>
              <w:t xml:space="preserve">GAP-01, GAP-03</w:t>
            </w:r>
          </w:p>
        </w:tc>
      </w:tr>
      <w:tr>
        <w:tc>
          <w:tcPr/>
          <w:p>
            <w:pPr>
              <w:pStyle w:val="Compact"/>
            </w:pPr>
            <w:r>
              <w:t xml:space="preserve">FE-04</w:t>
            </w:r>
          </w:p>
        </w:tc>
        <w:tc>
          <w:tcPr/>
          <w:p>
            <w:pPr>
              <w:pStyle w:val="Compact"/>
            </w:pPr>
            <w:r>
              <w:t xml:space="preserve">Staff Shift Scheduling</w:t>
            </w:r>
          </w:p>
        </w:tc>
        <w:tc>
          <w:tcPr/>
          <w:p>
            <w:pPr>
              <w:pStyle w:val="Compact"/>
            </w:pPr>
            <w:r>
              <w:t xml:space="preserve">Managers publish shifts by location so customer-service staff can see assigned coverage and schedule changes.</w:t>
            </w:r>
          </w:p>
        </w:tc>
        <w:tc>
          <w:tcPr/>
          <w:p>
            <w:pPr>
              <w:pStyle w:val="Compact"/>
            </w:pPr>
            <w:r>
              <w:t xml:space="preserve">GAP-02</w:t>
            </w:r>
          </w:p>
        </w:tc>
      </w:tr>
      <w:tr>
        <w:tc>
          <w:tcPr/>
          <w:p>
            <w:pPr>
              <w:pStyle w:val="Compact"/>
            </w:pPr>
            <w:r>
              <w:t xml:space="preserve">FE-05</w:t>
            </w:r>
          </w:p>
        </w:tc>
        <w:tc>
          <w:tcPr/>
          <w:p>
            <w:pPr>
              <w:pStyle w:val="Compact"/>
            </w:pPr>
            <w:r>
              <w:t xml:space="preserve">Multi-Location Operations Dashboard</w:t>
            </w:r>
          </w:p>
        </w:tc>
        <w:tc>
          <w:tcPr/>
          <w:p>
            <w:pPr>
              <w:pStyle w:val="Compact"/>
            </w:pPr>
            <w:r>
              <w:t xml:space="preserve">The owner and authorised managers view booking volume, upcoming sessions, and staffing coverage across locations.</w:t>
            </w:r>
          </w:p>
        </w:tc>
        <w:tc>
          <w:tcPr/>
          <w:p>
            <w:pPr>
              <w:pStyle w:val="Compact"/>
            </w:pPr>
            <w:r>
              <w:t xml:space="preserve">GAP-01, GAP-02</w:t>
            </w:r>
          </w:p>
        </w:tc>
      </w:tr>
      <w:tr>
        <w:tc>
          <w:tcPr/>
          <w:p>
            <w:pPr>
              <w:pStyle w:val="Compact"/>
            </w:pPr>
            <w:r>
              <w:t xml:space="preserve">FE-06</w:t>
            </w:r>
          </w:p>
        </w:tc>
        <w:tc>
          <w:tcPr/>
          <w:p>
            <w:pPr>
              <w:pStyle w:val="Compact"/>
            </w:pPr>
            <w:r>
              <w:t xml:space="preserve">Immutable Operational Audit Log</w:t>
            </w:r>
          </w:p>
        </w:tc>
        <w:tc>
          <w:tcPr/>
          <w:p>
            <w:pPr>
              <w:pStyle w:val="Compact"/>
            </w:pPr>
            <w:r>
              <w:t xml:space="preserve">MOH records key booking and shift changes with actor, timestamp, action, and affected record for later review.</w:t>
            </w:r>
          </w:p>
        </w:tc>
        <w:tc>
          <w:tcPr/>
          <w:p>
            <w:pPr>
              <w:pStyle w:val="Compact"/>
            </w:pPr>
            <w:r>
              <w:t xml:space="preserve">GAP-03</w:t>
            </w:r>
          </w:p>
        </w:tc>
      </w:tr>
    </w:tbl>
    <w:bookmarkEnd w:id="32"/>
    <w:bookmarkStart w:id="33" w:name="limitations-exclusions"/>
    <w:p>
      <w:pPr>
        <w:pStyle w:val="Heading2"/>
      </w:pPr>
      <w:r>
        <w:t xml:space="preserve">4.2 Limitations &amp; Exclusions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Excluded Item</w:t>
            </w:r>
          </w:p>
        </w:tc>
        <w:tc>
          <w:tcPr/>
          <w:p>
            <w:pPr>
              <w:pStyle w:val="Compact"/>
            </w:pPr>
            <w:r>
              <w:t xml:space="preserve">Reason</w:t>
            </w:r>
          </w:p>
        </w:tc>
      </w:tr>
      <w:tr>
        <w:tc>
          <w:tcPr/>
          <w:p>
            <w:pPr>
              <w:pStyle w:val="Compact"/>
            </w:pPr>
            <w:r>
              <w:t xml:space="preserve">LI-01</w:t>
            </w:r>
          </w:p>
        </w:tc>
        <w:tc>
          <w:tcPr/>
          <w:p>
            <w:pPr>
              <w:pStyle w:val="Compact"/>
            </w:pPr>
            <w:r>
              <w:t xml:space="preserve">Online payment processing</w:t>
            </w:r>
          </w:p>
        </w:tc>
        <w:tc>
          <w:tcPr/>
          <w:p>
            <w:pPr>
              <w:pStyle w:val="Compact"/>
            </w:pPr>
            <w:r>
              <w:t xml:space="preserve">V1 records operational reservations only; payment workflow needs separate commercial, security, and reconciliation decisions.</w:t>
            </w:r>
          </w:p>
        </w:tc>
      </w:tr>
      <w:tr>
        <w:tc>
          <w:tcPr/>
          <w:p>
            <w:pPr>
              <w:pStyle w:val="Compact"/>
            </w:pPr>
            <w:r>
              <w:t xml:space="preserve">LI-02</w:t>
            </w:r>
          </w:p>
        </w:tc>
        <w:tc>
          <w:tcPr/>
          <w:p>
            <w:pPr>
              <w:pStyle w:val="Compact"/>
            </w:pPr>
            <w:r>
              <w:t xml:space="preserve">Point-of-sale and retail inventory</w:t>
            </w:r>
          </w:p>
        </w:tc>
        <w:tc>
          <w:tcPr/>
          <w:p>
            <w:pPr>
              <w:pStyle w:val="Compact"/>
            </w:pPr>
            <w:r>
              <w:t xml:space="preserve">Jewellery sales and stock operations are broader than the booking-and-staffing problem validated for V1.</w:t>
            </w:r>
          </w:p>
        </w:tc>
      </w:tr>
      <w:tr>
        <w:tc>
          <w:tcPr/>
          <w:p>
            <w:pPr>
              <w:pStyle w:val="Compact"/>
            </w:pPr>
            <w:r>
              <w:t xml:space="preserve">LI-03</w:t>
            </w:r>
          </w:p>
        </w:tc>
        <w:tc>
          <w:tcPr/>
          <w:p>
            <w:pPr>
              <w:pStyle w:val="Compact"/>
            </w:pPr>
            <w:r>
              <w:t xml:space="preserve">Loyalty, promotions, and marketing automation</w:t>
            </w:r>
          </w:p>
        </w:tc>
        <w:tc>
          <w:tcPr/>
          <w:p>
            <w:pPr>
              <w:pStyle w:val="Compact"/>
            </w:pPr>
            <w:r>
              <w:t xml:space="preserve">These capabilities require customer-consent, campaign, and measurement rules that are not part of the immediate operational scope.</w:t>
            </w:r>
          </w:p>
        </w:tc>
      </w:tr>
      <w:tr>
        <w:tc>
          <w:tcPr/>
          <w:p>
            <w:pPr>
              <w:pStyle w:val="Compact"/>
            </w:pPr>
            <w:r>
              <w:t xml:space="preserve">LI-04</w:t>
            </w:r>
          </w:p>
        </w:tc>
        <w:tc>
          <w:tcPr/>
          <w:p>
            <w:pPr>
              <w:pStyle w:val="Compact"/>
            </w:pPr>
            <w:r>
              <w:t xml:space="preserve">Native iOS and Android applications</w:t>
            </w:r>
          </w:p>
        </w:tc>
        <w:tc>
          <w:tcPr/>
          <w:p>
            <w:pPr>
              <w:pStyle w:val="Compact"/>
            </w:pPr>
            <w:r>
              <w:t xml:space="preserve">A responsive operational experience is sufficient for the initial validation; native applications can follow proven usage.</w:t>
            </w:r>
          </w:p>
        </w:tc>
      </w:tr>
      <w:tr>
        <w:tc>
          <w:tcPr/>
          <w:p>
            <w:pPr>
              <w:pStyle w:val="Compact"/>
            </w:pPr>
            <w:r>
              <w:t xml:space="preserve">LI-05</w:t>
            </w:r>
          </w:p>
        </w:tc>
        <w:tc>
          <w:tcPr/>
          <w:p>
            <w:pPr>
              <w:pStyle w:val="Compact"/>
            </w:pPr>
            <w:r>
              <w:t xml:space="preserve">Advanced forecasting and AI optimisation</w:t>
            </w:r>
          </w:p>
        </w:tc>
        <w:tc>
          <w:tcPr/>
          <w:p>
            <w:pPr>
              <w:pStyle w:val="Compact"/>
            </w:pPr>
            <w:r>
              <w:t xml:space="preserve">Forecasting needs reliable historical booking, staffing, and attendance data that V1 will begin to collect.</w:t>
            </w:r>
          </w:p>
        </w:tc>
      </w:tr>
    </w:tbl>
    <w:bookmarkEnd w:id="33"/>
    <w:bookmarkEnd w:id="34"/>
    <w:bookmarkStart w:id="38" w:name="expected-contributions-next-steps"/>
    <w:p>
      <w:pPr>
        <w:pStyle w:val="Heading1"/>
      </w:pPr>
      <w:r>
        <w:t xml:space="preserve">5. Expected Contributions &amp; Next Steps</w:t>
      </w:r>
    </w:p>
    <w:p>
      <w:pPr>
        <w:pStyle w:val="FirstParagraph"/>
      </w:pPr>
      <w:r>
        <w:t xml:space="preserve">The proposed contribution is a shared operating baseline for a growing workshop business: bookings, staffing, and operational changes become visible by location instead of being dispersed through conversations. The following targets are illustrative demo metrics only; they are not claims about Mland’s current performance.</w:t>
      </w:r>
    </w:p>
    <w:bookmarkStart w:id="35" w:name="business-operational-impact"/>
    <w:p>
      <w:pPr>
        <w:pStyle w:val="Heading2"/>
      </w:pPr>
      <w:r>
        <w:t xml:space="preserve">5.1 Business &amp; Operational Impact</w:t>
      </w:r>
    </w:p>
    <w:p>
      <w:pPr>
        <w:pStyle w:val="FirstParagraph"/>
      </w:pPr>
      <w:r>
        <w:rPr>
          <w:b/>
          <w:bCs/>
        </w:rPr>
        <w:t xml:space="preserve">Illustrative demo targets only — validate with Mland before use.</w:t>
      </w:r>
      <w:r>
        <w:t xml:space="preserve"> </w:t>
      </w:r>
      <w:r>
        <w:t xml:space="preserve">After an initial pilot, MOH could target at least 60% of eligible reservations submitted through the booking flow, a 40% reduction in staff time spent reconciling booking and shift messages, and a booking-confirmation response within 10 minutes during operating hours. A single multi-location view would help the owner identify under-covered sessions and review changes without asking each location to reconstruct its records manually.</w:t>
      </w:r>
    </w:p>
    <w:p>
      <w:pPr>
        <w:pStyle w:val="BodyText"/>
      </w:pPr>
      <w:r>
        <w:t xml:space="preserve">These targets are intended to make future measurement concrete. Baseline booking volume, message-handling time, cancellation rate, and staffing coverage must be captured before any business benefit is reported.</w:t>
      </w:r>
    </w:p>
    <w:bookmarkEnd w:id="35"/>
    <w:bookmarkStart w:id="36" w:name="user-experience-impact"/>
    <w:p>
      <w:pPr>
        <w:pStyle w:val="Heading2"/>
      </w:pPr>
      <w:r>
        <w:t xml:space="preserve">5.2 User Experience Impact</w:t>
      </w:r>
    </w:p>
    <w:p>
      <w:pPr>
        <w:pStyle w:val="FirstParagraph"/>
      </w:pPr>
      <w:r>
        <w:t xml:space="preserve">Customers would be able to see a structured choice of workshop location and available session rather than starting every reservation with a message or phone call. Staff would begin a shift with one shared view of expected guests, booking changes, and their assignment. The owner and authorised managers would gain a location-aware operational view and a traceable explanation of who changed a booking or shift record.</w:t>
      </w:r>
    </w:p>
    <w:p>
      <w:pPr>
        <w:pStyle w:val="BodyText"/>
      </w:pPr>
      <w:r>
        <w:t xml:space="preserve">The intended outcome is less uncertainty for customers, fewer hand-offs for staff, and clearer operational accountability as Mland grows beyond two locations.</w:t>
      </w:r>
    </w:p>
    <w:bookmarkEnd w:id="36"/>
    <w:bookmarkStart w:id="37" w:name="Xfe8a5403a0c01ad06d9085a36d7a312bc31f06b"/>
    <w:p>
      <w:pPr>
        <w:pStyle w:val="Heading2"/>
      </w:pPr>
      <w:r>
        <w:t xml:space="preserve">5.3 Planned Next Steps After Project Completion</w:t>
      </w:r>
    </w:p>
    <w:p>
      <w:pPr>
        <w:pStyle w:val="FirstParagraph"/>
      </w:pPr>
      <w:r>
        <w:t xml:space="preserve">Following a V1 pilot, Mland should review actual booking adoption, no-show patterns, staff scheduling effort, and audit-log usage before expanding scope. The next decision should be whether to improve the booking journey, add payment integration, introduce retail sales and inventory workflows, or prepare operational support for the planned Da Nang location.</w:t>
      </w:r>
    </w:p>
    <w:p>
      <w:pPr>
        <w:pStyle w:val="BodyText"/>
      </w:pPr>
      <w:r>
        <w:t xml:space="preserve">Later iterations may add customer loyalty, marketing automation, native mobile access, and forecasting based on trustworthy operational history. Each expansion should be prioritised only after the V1 evidence shows that the booking, scheduling, and audit foundation is being used successfully.</w:t>
      </w:r>
    </w:p>
    <w:p>
      <w:pPr>
        <w:pStyle w:val="BodyText"/>
      </w:pPr>
      <w:r>
        <w:rPr>
          <w:i/>
          <w:iCs/>
        </w:rPr>
        <w:t xml:space="preserve">— End of Illustrative Demo Document —</w:t>
      </w:r>
    </w:p>
    <w:bookmarkEnd w:id="37"/>
    <w:bookmarkEnd w:id="38"/>
    <w:sectPr w:rsidR="003038B1" w:rsidSect="004812DA">
      <w:headerReference r:id="rId8" w:type="even"/>
      <w:headerReference r:id="rId9" w:type="default"/>
      <w:footerReference r:id="rId10" w:type="even"/>
      <w:footerReference r:id="rId11" w:type="default"/>
      <w:headerReference r:id="rId12" w:type="first"/>
      <w:footerReference r:id="rId13" w:type="first"/>
      <w:footnotePr>
        <w:numRestart w:val="eachSect"/>
      </w:footnotePr>
      <w:pgSz w:h="16838" w:w="11906"/>
      <w:pgMar w:bottom="1080" w:footer="504" w:gutter="0" w:header="504" w:left="1080" w:right="108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33A3C" w14:textId="77777777" w:rsidR="00E91597" w:rsidRDefault="00E91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32A1" w14:textId="77777777" w:rsidR="00E91597" w:rsidRDefault="00E915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6E964" w14:textId="77777777" w:rsidR="00E91597" w:rsidRDefault="00E9159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063FB" w14:textId="77777777" w:rsidR="00E91597" w:rsidRDefault="00E915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A686C" w14:textId="77777777" w:rsidR="00E91597" w:rsidRDefault="00E915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76CAA" w14:textId="77777777" w:rsidR="00E91597" w:rsidRDefault="00E9159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86CE8A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038B1"/>
    <w:rsid w:val="003038B1"/>
    <w:rsid w:val="004812DA"/>
    <w:rsid w:val="00A87D21"/>
    <w:rsid w:val="00E91597"/>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pPr>
    <w:rPr>
      <w:rFonts w:ascii="Arial" w:cs="Arial" w:hAnsi="Arial"/>
      <w:sz w:val="20"/>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eastAsiaTheme="majorEastAsia" w:hAnsi="Arial"/>
      <w:b/>
      <w:color w:val="1F3864"/>
      <w:sz w:val="40"/>
      <w:szCs w:val="40"/>
    </w:rPr>
  </w:style>
  <w:style w:styleId="Heading2" w:type="paragraph">
    <w:name w:val="heading 2"/>
    <w:basedOn w:val="Normal"/>
    <w:next w:val="BodyText"/>
    <w:link w:val="Heading2Char"/>
    <w:uiPriority w:val="9"/>
    <w:semiHidden/>
    <w:unhideWhenUsed/>
    <w:qFormat/>
    <w:rsid w:val="00A10FD9"/>
    <w:pPr>
      <w:keepNext/>
      <w:keepLines/>
      <w:spacing w:after="100" w:before="280"/>
      <w:outlineLvl w:val="1"/>
    </w:pPr>
    <w:rPr>
      <w:rFonts w:ascii="Arial" w:eastAsiaTheme="majorEastAsia" w:hAnsi="Arial"/>
      <w:b/>
      <w:color w:val="1F3864"/>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Arial" w:eastAsiaTheme="majorEastAsia" w:hAnsi="Arial"/>
      <w:b/>
      <w:color w:val="1F3864"/>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160"/>
      <w:outlineLvl w:val="3"/>
    </w:pPr>
    <w:rPr>
      <w:rFonts w:ascii="Arial" w:eastAsiaTheme="majorEastAsia" w:hAnsi="Arial"/>
      <w:b/>
      <w:i/>
      <w:iCs/>
      <w:color w:val="1F3864"/>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Arial" w:cs="Arial" w:eastAsiaTheme="majorEastAsia" w:hAnsi="Arial"/>
      <w:b/>
      <w:color w:val="1F3864"/>
      <w:sz w:val="40"/>
      <w:szCs w:val="40"/>
    </w:rPr>
  </w:style>
  <w:style w:customStyle="1" w:styleId="Heading2Char" w:type="character">
    <w:name w:val="Heading 2 Char"/>
    <w:basedOn w:val="DefaultParagraphFont"/>
    <w:link w:val="Heading2"/>
    <w:uiPriority w:val="9"/>
    <w:semiHidden/>
    <w:rsid w:val="00A10FD9"/>
    <w:rPr>
      <w:rFonts w:ascii="Arial" w:cs="Arial" w:eastAsiaTheme="majorEastAsia" w:hAnsi="Arial"/>
      <w:b/>
      <w:color w:val="1F3864"/>
      <w:sz w:val="28"/>
      <w:szCs w:val="32"/>
    </w:rPr>
  </w:style>
  <w:style w:customStyle="1" w:styleId="Heading3Char" w:type="character">
    <w:name w:val="Heading 3 Char"/>
    <w:basedOn w:val="DefaultParagraphFont"/>
    <w:link w:val="Heading3"/>
    <w:uiPriority w:val="9"/>
    <w:semiHidden/>
    <w:rsid w:val="00A10FD9"/>
    <w:rPr>
      <w:rFonts w:ascii="Arial" w:cs="Arial" w:eastAsiaTheme="majorEastAsia" w:hAnsi="Arial"/>
      <w:b/>
      <w:color w:val="1F3864"/>
      <w:sz w:val="23"/>
      <w:szCs w:val="28"/>
    </w:rPr>
  </w:style>
  <w:style w:customStyle="1" w:styleId="Heading4Char" w:type="character">
    <w:name w:val="Heading 4 Char"/>
    <w:basedOn w:val="DefaultParagraphFont"/>
    <w:link w:val="Heading4"/>
    <w:uiPriority w:val="9"/>
    <w:semiHidden/>
    <w:rsid w:val="00A10FD9"/>
    <w:rPr>
      <w:rFonts w:ascii="Arial" w:cs="Arial" w:eastAsiaTheme="majorEastAsia" w:hAnsi="Arial"/>
      <w:b/>
      <w:i/>
      <w:iCs/>
      <w:color w:val="1F3864"/>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Grid"/>
    <w:semiHidden/>
    <w:unhideWhenUsed/>
    <w:qFormat/>
    <w:rPr>
      <w:rFonts w:ascii="Arial" w:cs="Arial" w:hAnsi="Arial"/>
      <w:sz w:val="19"/>
      <w:szCs w:val="20"/>
      <w:lang w:eastAsia="ja-JP"/>
    </w:rP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styleId="TableGrid" w:type="table">
    <w:name w:val="Table Grid"/>
    <w:basedOn w:val="TableNormal"/>
    <w:rsid w:val="004812D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nhideWhenUsed/>
    <w:rsid w:val="00E91597"/>
    <w:pPr>
      <w:tabs>
        <w:tab w:pos="4680" w:val="center"/>
        <w:tab w:pos="9360" w:val="right"/>
      </w:tabs>
    </w:pPr>
  </w:style>
  <w:style w:customStyle="1" w:styleId="HeaderChar" w:type="character">
    <w:name w:val="Header Char"/>
    <w:basedOn w:val="DefaultParagraphFont"/>
    <w:link w:val="Header"/>
    <w:rsid w:val="00E91597"/>
    <w:rPr>
      <w:rFonts w:ascii="Arial" w:cs="Arial" w:hAnsi="Arial"/>
      <w:sz w:val="20"/>
    </w:rPr>
  </w:style>
  <w:style w:styleId="Footer" w:type="paragraph">
    <w:name w:val="footer"/>
    <w:basedOn w:val="Normal"/>
    <w:link w:val="FooterChar"/>
    <w:unhideWhenUsed/>
    <w:rsid w:val="00E91597"/>
    <w:pPr>
      <w:tabs>
        <w:tab w:pos="4680" w:val="center"/>
        <w:tab w:pos="9360" w:val="right"/>
      </w:tabs>
    </w:pPr>
  </w:style>
  <w:style w:customStyle="1" w:styleId="FooterChar" w:type="character">
    <w:name w:val="Footer Char"/>
    <w:basedOn w:val="DefaultParagraphFont"/>
    <w:link w:val="Footer"/>
    <w:rsid w:val="00E91597"/>
    <w:rPr>
      <w:rFonts w:ascii="Arial" w:cs="Arial" w:hAnsi="Arial"/>
      <w:sz w:val="20"/>
    </w:rPr>
  </w:style>
  <w:style w:customStyle="1" w:styleId="GuidanceText" w:type="paragraph">
    <w:name w:val="Guidance Text"/>
    <w:basedOn w:val="Normal"/>
    <w:rPr>
      <w:rFonts w:ascii="Arial" w:hAnsi="Arial"/>
      <w:sz w:val="20"/>
    </w:rPr>
  </w:style>
  <w:style w:customStyle="1" w:styleId="CalloutGuidance" w:type="table">
    <w:name w:val="Callout Guidance"/>
    <w:basedOn w:val="TableGrid"/>
    <w:rPr>
      <w:rFonts w:ascii="Arial" w:hAnsi="Arial"/>
      <w:sz w:val="19"/>
    </w:rPr>
    <w:tblPr>
      <w:tblBorders>
        <w:top w:color="5B9BD5" w:sz="6" w:val="single"/>
        <w:left w:color="5B9BD5" w:sz="6" w:val="single"/>
        <w:bottom w:color="5B9BD5" w:sz="6" w:val="single"/>
        <w:right w:color="5B9BD5" w:sz="6" w:val="single"/>
        <w:insideH w:color="5B9BD5" w:sz="6" w:val="single"/>
        <w:insideV w:color="5B9BD5" w:sz="6" w:val="single"/>
      </w:tblBorders>
    </w:tblPr>
    <w:tblStylePr w:type="wholeTable">
      <w:tcPr>
        <w:shd w:fill="DBEAF7"/>
      </w:tcPr>
    </w:tblStylePr>
    <w:tblStylePr w:type="firstRow">
      <w:tcPr>
        <w:shd w:fill="DBEAF7"/>
      </w:tcPr>
    </w:tblStylePr>
  </w:style>
  <w:style w:customStyle="1" w:styleId="ExampleText" w:type="paragraph">
    <w:name w:val="Example Text"/>
    <w:basedOn w:val="Normal"/>
    <w:rPr>
      <w:rFonts w:ascii="Arial" w:hAnsi="Arial"/>
      <w:sz w:val="20"/>
    </w:rPr>
  </w:style>
  <w:style w:customStyle="1" w:styleId="CalloutExample" w:type="table">
    <w:name w:val="Callout Example"/>
    <w:basedOn w:val="TableGrid"/>
    <w:rPr>
      <w:rFonts w:ascii="Arial" w:hAnsi="Arial"/>
      <w:sz w:val="19"/>
    </w:rPr>
    <w:tblPr>
      <w:tblBorders>
        <w:top w:color="70AD47" w:sz="6" w:val="single"/>
        <w:left w:color="70AD47" w:sz="6" w:val="single"/>
        <w:bottom w:color="70AD47" w:sz="6" w:val="single"/>
        <w:right w:color="70AD47" w:sz="6" w:val="single"/>
        <w:insideH w:color="70AD47" w:sz="6" w:val="single"/>
        <w:insideV w:color="70AD47" w:sz="6" w:val="single"/>
      </w:tblBorders>
    </w:tblPr>
    <w:tblStylePr w:type="wholeTable">
      <w:tcPr>
        <w:shd w:fill="E2F0D9"/>
      </w:tcPr>
    </w:tblStylePr>
    <w:tblStylePr w:type="firstRow">
      <w:tcPr>
        <w:shd w:fill="E2F0D9"/>
      </w:tcPr>
    </w:tblStylePr>
  </w:style>
  <w:style w:customStyle="1" w:styleId="DiagramText" w:type="paragraph">
    <w:name w:val="Diagram Text"/>
    <w:basedOn w:val="Normal"/>
    <w:rPr>
      <w:rFonts w:ascii="Arial" w:hAnsi="Arial"/>
      <w:sz w:val="20"/>
    </w:rPr>
  </w:style>
  <w:style w:customStyle="1" w:styleId="CalloutDiagram" w:type="table">
    <w:name w:val="Callout Diagram"/>
    <w:basedOn w:val="TableGrid"/>
    <w:rPr>
      <w:rFonts w:ascii="Arial" w:hAnsi="Arial"/>
      <w:sz w:val="19"/>
    </w:rPr>
    <w:tblPr>
      <w:tblBorders>
        <w:top w:color="8064A2" w:sz="6" w:val="single"/>
        <w:left w:color="8064A2" w:sz="6" w:val="single"/>
        <w:bottom w:color="8064A2" w:sz="6" w:val="single"/>
        <w:right w:color="8064A2" w:sz="6" w:val="single"/>
        <w:insideH w:color="8064A2" w:sz="6" w:val="single"/>
        <w:insideV w:color="8064A2" w:sz="6" w:val="single"/>
      </w:tblBorders>
    </w:tblPr>
    <w:tblStylePr w:type="wholeTable">
      <w:tcPr>
        <w:shd w:fill="E4DFEC"/>
      </w:tcPr>
    </w:tblStylePr>
    <w:tblStylePr w:type="firstRow">
      <w:tcPr>
        <w:shd w:fill="E4DFEC"/>
      </w:tcPr>
    </w:tblStylePr>
  </w:style>
  <w:style w:customStyle="1" w:styleId="ReferenceText" w:type="paragraph">
    <w:name w:val="Reference Text"/>
    <w:basedOn w:val="Normal"/>
    <w:rPr>
      <w:rFonts w:ascii="Arial" w:hAnsi="Arial"/>
      <w:sz w:val="20"/>
    </w:rPr>
  </w:style>
  <w:style w:customStyle="1" w:styleId="CalloutReference" w:type="table">
    <w:name w:val="Callout Reference"/>
    <w:basedOn w:val="TableGrid"/>
    <w:rPr>
      <w:rFonts w:ascii="Arial" w:hAnsi="Arial"/>
      <w:sz w:val="19"/>
    </w:rPr>
    <w:tblPr>
      <w:tblBorders>
        <w:top w:color="7F7F7F" w:sz="6" w:val="single"/>
        <w:left w:color="7F7F7F" w:sz="6" w:val="single"/>
        <w:bottom w:color="7F7F7F" w:sz="6" w:val="single"/>
        <w:right w:color="7F7F7F" w:sz="6" w:val="single"/>
        <w:insideH w:color="7F7F7F" w:sz="6" w:val="single"/>
        <w:insideV w:color="7F7F7F" w:sz="6" w:val="single"/>
      </w:tblBorders>
    </w:tblPr>
    <w:tblStylePr w:type="wholeTable">
      <w:tcPr>
        <w:shd w:fill="E7E6E6"/>
      </w:tcPr>
    </w:tblStylePr>
    <w:tblStylePr w:type="firstRow">
      <w:tcPr>
        <w:shd w:fill="E7E6E6"/>
      </w:tcPr>
    </w:tblStylePr>
  </w:style>
  <w:style w:customStyle="1" w:styleId="RequiredText" w:type="paragraph">
    <w:name w:val="Required Text"/>
    <w:basedOn w:val="Normal"/>
    <w:rPr>
      <w:rFonts w:ascii="Arial" w:hAnsi="Arial"/>
      <w:sz w:val="20"/>
    </w:rPr>
  </w:style>
  <w:style w:customStyle="1" w:styleId="CalloutRequired" w:type="table">
    <w:name w:val="Callout Required"/>
    <w:basedOn w:val="TableGrid"/>
    <w:rPr>
      <w:rFonts w:ascii="Arial" w:hAnsi="Arial"/>
      <w:sz w:val="19"/>
    </w:rPr>
    <w:tblPr>
      <w:tblBorders>
        <w:top w:color="C00000" w:sz="6" w:val="single"/>
        <w:left w:color="C00000" w:sz="6" w:val="single"/>
        <w:bottom w:color="C00000" w:sz="6" w:val="single"/>
        <w:right w:color="C00000" w:sz="6" w:val="single"/>
        <w:insideH w:color="C00000" w:sz="6" w:val="single"/>
        <w:insideV w:color="C00000" w:sz="6" w:val="single"/>
      </w:tblBorders>
    </w:tblPr>
    <w:tblStylePr w:type="wholeTable">
      <w:tcPr>
        <w:shd w:fill="FCE4D6"/>
      </w:tcPr>
    </w:tblStylePr>
    <w:tblStylePr w:type="firstRow">
      <w:tcPr>
        <w:shd w:fill="FCE4D6"/>
      </w:tcPr>
    </w:tblStylePr>
  </w:style>
  <w:style w:customStyle="1" w:styleId="CautionText" w:type="paragraph">
    <w:name w:val="Caution Text"/>
    <w:basedOn w:val="Normal"/>
    <w:rPr>
      <w:rFonts w:ascii="Arial" w:hAnsi="Arial"/>
      <w:sz w:val="20"/>
    </w:rPr>
  </w:style>
  <w:style w:customStyle="1" w:styleId="CalloutCaution" w:type="table">
    <w:name w:val="Callout Caution"/>
    <w:basedOn w:val="TableGrid"/>
    <w:rPr>
      <w:rFonts w:ascii="Arial" w:hAnsi="Arial"/>
      <w:sz w:val="19"/>
    </w:rPr>
    <w:tblPr>
      <w:tblBorders>
        <w:top w:color="BF9000" w:sz="6" w:val="single"/>
        <w:left w:color="BF9000" w:sz="6" w:val="single"/>
        <w:bottom w:color="BF9000" w:sz="6" w:val="single"/>
        <w:right w:color="BF9000" w:sz="6" w:val="single"/>
        <w:insideH w:color="BF9000" w:sz="6" w:val="single"/>
        <w:insideV w:color="BF9000" w:sz="6" w:val="single"/>
      </w:tblBorders>
    </w:tblPr>
    <w:tblStylePr w:type="wholeTable">
      <w:tcPr>
        <w:shd w:fill="FFF2CC"/>
      </w:tcPr>
    </w:tblStylePr>
    <w:tblStylePr w:type="firstRow">
      <w:tcPr>
        <w:shd w:fill="FFF2CC"/>
      </w:tcPr>
    </w:tblStylePr>
  </w:style>
  <w:style w:customStyle="1" w:styleId="DataTable" w:type="table">
    <w:name w:val="Data Table"/>
    <w:basedOn w:val="TableGrid"/>
    <w:rPr>
      <w:rFonts w:ascii="Arial" w:hAnsi="Arial"/>
      <w:sz w:val="19"/>
    </w:rPr>
    <w:tblPr>
      <w:tblBorders>
        <w:top w:color="7F7F7F" w:sz="6" w:val="single"/>
        <w:left w:color="7F7F7F" w:sz="6" w:val="single"/>
        <w:bottom w:color="7F7F7F" w:sz="6" w:val="single"/>
        <w:right w:color="7F7F7F" w:sz="6" w:val="single"/>
        <w:insideH w:color="7F7F7F" w:sz="6" w:val="single"/>
        <w:insideV w:color="7F7F7F" w:sz="6" w:val="single"/>
      </w:tblBorders>
    </w:tblPr>
    <w:tblStylePr w:type="wholeTable">
      <w:tcPr>
        <w:shd w:fill="FFFFFF"/>
      </w:tcPr>
    </w:tblStylePr>
    <w:tblStylePr w:type="firstRow">
      <w:tcPr>
        <w:shd w:fill="D9E2F3"/>
      </w:tcPr>
    </w:tblStylePr>
  </w:style>
  <w:style w:customStyle="1" w:styleId="MetadataTable" w:type="table">
    <w:name w:val="Metadata Table"/>
    <w:basedOn w:val="TableGrid"/>
    <w:rPr>
      <w:rFonts w:ascii="Arial" w:hAnsi="Arial"/>
      <w:sz w:val="19"/>
    </w:rPr>
    <w:tblPr>
      <w:tblBorders>
        <w:top w:color="5B9BD5" w:sz="6" w:val="single"/>
        <w:left w:color="5B9BD5" w:sz="6" w:val="single"/>
        <w:bottom w:color="5B9BD5" w:sz="6" w:val="single"/>
        <w:right w:color="5B9BD5" w:sz="6" w:val="single"/>
        <w:insideH w:color="5B9BD5" w:sz="6" w:val="single"/>
        <w:insideV w:color="5B9BD5" w:sz="6" w:val="single"/>
      </w:tblBorders>
    </w:tblPr>
    <w:tblStylePr w:type="wholeTable">
      <w:tcPr>
        <w:shd w:fill="FFFFFF"/>
      </w:tcPr>
    </w:tblStylePr>
    <w:tblStylePr w:type="firstRow">
      <w:tcPr>
        <w:shd w:fill="D9E2F3"/>
      </w:tcPr>
    </w:tblStylePr>
  </w:style>
  <w:style w:customStyle="1" w:styleId="ChangeHistory" w:type="table">
    <w:name w:val="Change History"/>
    <w:basedOn w:val="TableGrid"/>
    <w:rPr>
      <w:rFonts w:ascii="Arial" w:hAnsi="Arial"/>
      <w:sz w:val="19"/>
    </w:rPr>
    <w:tblPr>
      <w:tblBorders>
        <w:top w:color="5B9BD5" w:sz="6" w:val="single"/>
        <w:left w:color="5B9BD5" w:sz="6" w:val="single"/>
        <w:bottom w:color="5B9BD5" w:sz="6" w:val="single"/>
        <w:right w:color="5B9BD5" w:sz="6" w:val="single"/>
        <w:insideH w:color="5B9BD5" w:sz="6" w:val="single"/>
        <w:insideV w:color="5B9BD5" w:sz="6" w:val="single"/>
      </w:tblBorders>
    </w:tblPr>
    <w:tblStylePr w:type="wholeTable">
      <w:tcPr>
        <w:shd w:fill="FFFFFF"/>
      </w:tcPr>
    </w:tblStylePr>
    <w:tblStylePr w:type="firstRow">
      <w:tcPr>
        <w:shd w:fill="D9E2F3"/>
      </w:tcPr>
    </w:tblStylePr>
  </w:style>
  <w:style w:customStyle="1" w:styleId="Placeholder" w:type="character">
    <w:name w:val="Placeholder"/>
    <w:rPr>
      <w:rFonts w:ascii="Arial" w:hAnsi="Arial"/>
      <w:i/>
      <w:color w:val="7F7F7F"/>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53</Words>
  <Characters>303</Characters>
  <Application>Microsoft Office Word</Application>
  <DocSecurity>0</DocSecurity>
  <Lines>2</Lines>
  <Paragraphs>1</Paragraphs>
  <ScaleCrop>false</ScaleCrop>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2026-09-08T04:47:54Z</dcterms:created>
  <dcterms:modified xsi:type="dcterms:W3CDTF">2026-09-08T04:47:54Z</dcterms:modified>
</cp:coreProperties>
</file>

<file path=docProps/custom.xml><?xml version="1.0" encoding="utf-8"?>
<Properties xmlns="http://schemas.openxmlformats.org/officeDocument/2006/custom-properties" xmlns:vt="http://schemas.openxmlformats.org/officeDocument/2006/docPropsVTypes"/>
</file>