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[Drive asset omitted: fpt-university]</w:t>
      </w:r>
    </w:p>
    <w:bookmarkStart w:id="23" w:name="Xf940d1cf87b3a6a7c47b8c78c8671c5917afbc0"/>
    <w:p>
      <w:pPr>
        <w:pStyle w:val="Heading1"/>
      </w:pPr>
      <w:r>
        <w:t xml:space="preserve">REPORT 3 — SOFTWARE REQUIREMENT SPECIFICATION</w:t>
      </w:r>
    </w:p>
    <w:bookmarkStart w:id="21" w:name="X7c222baa4e433c876dcf21fe323bc8e0fc4b8da"/>
    <w:p>
      <w:pPr>
        <w:pStyle w:val="Heading2"/>
      </w:pPr>
      <w:r>
        <w:t xml:space="preserve">Personalized Product Sales and Workshop Booking System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SEP490_G22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project, under validation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Current requirement baseline. Items without approved evidence are</w:t>
      </w:r>
      <w:r>
        <w:t xml:space="preserve"> </w:t>
      </w:r>
      <w:r>
        <w:rPr>
          <w:rStyle w:val="VerbatimChar"/>
        </w:rPr>
        <w:t xml:space="preserve">TBD</w:t>
      </w:r>
      <w:r>
        <w:t xml:space="preserve">.</w: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Change Log</w:t>
      </w:r>
    </w:p>
    <w:p>
      <w:pPr>
        <w:pStyle w:val="Compact"/>
        <w:numPr>
          <w:ilvl w:val="0"/>
          <w:numId w:val="1001"/>
        </w:numPr>
      </w:pPr>
      <w:r>
        <w:t xml:space="preserve">Definitions and Acronyms</w:t>
      </w:r>
    </w:p>
    <w:p>
      <w:pPr>
        <w:pStyle w:val="Compact"/>
        <w:numPr>
          <w:ilvl w:val="0"/>
          <w:numId w:val="1001"/>
        </w:numPr>
      </w:pPr>
      <w:r>
        <w:t xml:space="preserve">I. Overall Requirements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Context Diagram</w:t>
      </w:r>
    </w:p>
    <w:p>
      <w:pPr>
        <w:pStyle w:val="Compact"/>
        <w:numPr>
          <w:ilvl w:val="1"/>
          <w:numId w:val="1002"/>
        </w:numPr>
      </w:pPr>
      <w:r>
        <w:t xml:space="preserve">2. Main Business Flow</w:t>
      </w:r>
    </w:p>
    <w:p>
      <w:pPr>
        <w:pStyle w:val="Compact"/>
        <w:numPr>
          <w:ilvl w:val="1"/>
          <w:numId w:val="1002"/>
        </w:numPr>
      </w:pPr>
      <w:r>
        <w:t xml:space="preserve">3. Conceptual Data Model</w:t>
      </w:r>
    </w:p>
    <w:p>
      <w:pPr>
        <w:pStyle w:val="Compact"/>
        <w:numPr>
          <w:ilvl w:val="2"/>
          <w:numId w:val="1004"/>
        </w:numPr>
      </w:pPr>
      <w:r>
        <w:t xml:space="preserve">3.1 Entity Relationship Diagram</w:t>
      </w:r>
    </w:p>
    <w:p>
      <w:pPr>
        <w:pStyle w:val="Compact"/>
        <w:numPr>
          <w:ilvl w:val="2"/>
          <w:numId w:val="1004"/>
        </w:numPr>
      </w:pPr>
      <w:r>
        <w:t xml:space="preserve">3.2 Entity Descriptions</w:t>
      </w:r>
    </w:p>
    <w:p>
      <w:pPr>
        <w:pStyle w:val="Compact"/>
        <w:numPr>
          <w:ilvl w:val="2"/>
          <w:numId w:val="1004"/>
        </w:numPr>
      </w:pPr>
      <w:r>
        <w:t xml:space="preserve">3.3 Data Business Rules</w:t>
      </w:r>
    </w:p>
    <w:p>
      <w:pPr>
        <w:pStyle w:val="Compact"/>
        <w:numPr>
          <w:ilvl w:val="1"/>
          <w:numId w:val="1002"/>
        </w:numPr>
      </w:pPr>
      <w:r>
        <w:t xml:space="preserve">4. User Requirements</w:t>
      </w:r>
    </w:p>
    <w:p>
      <w:pPr>
        <w:pStyle w:val="Compact"/>
        <w:numPr>
          <w:ilvl w:val="2"/>
          <w:numId w:val="1005"/>
        </w:numPr>
      </w:pPr>
      <w:r>
        <w:t xml:space="preserve">4.1 Actors</w:t>
      </w:r>
    </w:p>
    <w:p>
      <w:pPr>
        <w:pStyle w:val="Compact"/>
        <w:numPr>
          <w:ilvl w:val="2"/>
          <w:numId w:val="1005"/>
        </w:numPr>
      </w:pPr>
      <w:r>
        <w:t xml:space="preserve">4.2 Use Cases</w:t>
      </w:r>
    </w:p>
    <w:p>
      <w:pPr>
        <w:pStyle w:val="Compact"/>
        <w:numPr>
          <w:ilvl w:val="2"/>
          <w:numId w:val="1005"/>
        </w:numPr>
      </w:pPr>
      <w:r>
        <w:t xml:space="preserve">4.3 Use Case Diagrams</w:t>
      </w:r>
    </w:p>
    <w:p>
      <w:pPr>
        <w:pStyle w:val="Compact"/>
        <w:numPr>
          <w:ilvl w:val="2"/>
          <w:numId w:val="1005"/>
        </w:numPr>
      </w:pPr>
      <w:r>
        <w:t xml:space="preserve">4.4 Permission Matrix</w:t>
      </w:r>
    </w:p>
    <w:p>
      <w:pPr>
        <w:pStyle w:val="Compact"/>
        <w:numPr>
          <w:ilvl w:val="1"/>
          <w:numId w:val="1002"/>
        </w:numPr>
      </w:pPr>
      <w:r>
        <w:t xml:space="preserve">5. System Functionalities</w:t>
      </w:r>
    </w:p>
    <w:p>
      <w:pPr>
        <w:pStyle w:val="Compact"/>
        <w:numPr>
          <w:ilvl w:val="2"/>
          <w:numId w:val="1006"/>
        </w:numPr>
      </w:pPr>
      <w:r>
        <w:t xml:space="preserve">5.1 Screen Inventory</w:t>
      </w:r>
    </w:p>
    <w:p>
      <w:pPr>
        <w:pStyle w:val="Compact"/>
        <w:numPr>
          <w:ilvl w:val="2"/>
          <w:numId w:val="1006"/>
        </w:numPr>
      </w:pPr>
      <w:r>
        <w:t xml:space="preserve">5.2 External API Inventory</w:t>
      </w:r>
    </w:p>
    <w:p>
      <w:pPr>
        <w:pStyle w:val="Compact"/>
        <w:numPr>
          <w:ilvl w:val="2"/>
          <w:numId w:val="1006"/>
        </w:numPr>
      </w:pPr>
      <w:r>
        <w:t xml:space="preserve">5.3 Background Job Inventory</w:t>
      </w:r>
    </w:p>
    <w:p>
      <w:pPr>
        <w:pStyle w:val="Compact"/>
        <w:numPr>
          <w:ilvl w:val="0"/>
          <w:numId w:val="1001"/>
        </w:numPr>
      </w:pPr>
      <w:r>
        <w:t xml:space="preserve">II. Use Case Specifications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Feature Name 1</w:t>
      </w:r>
    </w:p>
    <w:p>
      <w:pPr>
        <w:pStyle w:val="Compact"/>
        <w:numPr>
          <w:ilvl w:val="1"/>
          <w:numId w:val="1007"/>
        </w:numPr>
      </w:pPr>
      <w:r>
        <w:t xml:space="preserve">2. Feature Name 2</w:t>
      </w:r>
    </w:p>
    <w:p>
      <w:pPr>
        <w:pStyle w:val="Compact"/>
        <w:numPr>
          <w:ilvl w:val="0"/>
          <w:numId w:val="1001"/>
        </w:numPr>
      </w:pPr>
      <w:r>
        <w:t xml:space="preserve">III. Functional Requirements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0"/>
        </w:numPr>
      </w:pPr>
      <w:r>
        <w:t xml:space="preserve">Feature Name 1</w:t>
      </w:r>
    </w:p>
    <w:p>
      <w:pPr>
        <w:pStyle w:val="Compact"/>
        <w:numPr>
          <w:ilvl w:val="1"/>
          <w:numId w:val="1009"/>
        </w:numPr>
      </w:pPr>
      <w:r>
        <w:t xml:space="preserve">2. Feature Name 2</w:t>
      </w:r>
    </w:p>
    <w:p>
      <w:pPr>
        <w:pStyle w:val="Compact"/>
        <w:numPr>
          <w:ilvl w:val="1"/>
          <w:numId w:val="1009"/>
        </w:numPr>
      </w:pPr>
      <w:r>
        <w:t xml:space="preserve">x. Background Job Inventory</w:t>
      </w:r>
    </w:p>
    <w:p>
      <w:pPr>
        <w:pStyle w:val="Compact"/>
        <w:numPr>
          <w:ilvl w:val="1"/>
          <w:numId w:val="1009"/>
        </w:numPr>
      </w:pPr>
      <w:r>
        <w:t xml:space="preserve">(x+1). External API Inventory</w:t>
      </w:r>
    </w:p>
    <w:p>
      <w:pPr>
        <w:pStyle w:val="Compact"/>
        <w:numPr>
          <w:ilvl w:val="0"/>
          <w:numId w:val="1001"/>
        </w:numPr>
      </w:pPr>
      <w:r>
        <w:t xml:space="preserve">IV. Non-functional Requirements</w:t>
      </w:r>
    </w:p>
    <w:p>
      <w:pPr>
        <w:pStyle w:val="Compact"/>
        <w:numPr>
          <w:ilvl w:val="1"/>
          <w:numId w:val="1011"/>
        </w:numPr>
      </w:pPr>
    </w:p>
    <w:p>
      <w:pPr>
        <w:pStyle w:val="Compact"/>
        <w:numPr>
          <w:ilvl w:val="2"/>
          <w:numId w:val="1012"/>
        </w:numPr>
      </w:pPr>
      <w:r>
        <w:t xml:space="preserve">External Interfaces</w:t>
      </w:r>
    </w:p>
    <w:p>
      <w:pPr>
        <w:pStyle w:val="Compact"/>
        <w:numPr>
          <w:ilvl w:val="1"/>
          <w:numId w:val="1011"/>
        </w:numPr>
      </w:pPr>
      <w:r>
        <w:t xml:space="preserve">2. Quality Attributes</w:t>
      </w:r>
    </w:p>
    <w:p>
      <w:pPr>
        <w:pStyle w:val="Compact"/>
        <w:numPr>
          <w:ilvl w:val="2"/>
          <w:numId w:val="1013"/>
        </w:numPr>
      </w:pPr>
      <w:r>
        <w:t xml:space="preserve">2.1 Usability</w:t>
      </w:r>
    </w:p>
    <w:p>
      <w:pPr>
        <w:pStyle w:val="Compact"/>
        <w:numPr>
          <w:ilvl w:val="2"/>
          <w:numId w:val="1013"/>
        </w:numPr>
      </w:pPr>
      <w:r>
        <w:t xml:space="preserve">2.2 Performance</w:t>
      </w:r>
    </w:p>
    <w:p>
      <w:pPr>
        <w:pStyle w:val="Compact"/>
        <w:numPr>
          <w:ilvl w:val="2"/>
          <w:numId w:val="1013"/>
        </w:numPr>
      </w:pPr>
      <w:r>
        <w:t xml:space="preserve">2.3 Security</w:t>
      </w:r>
    </w:p>
    <w:p>
      <w:pPr>
        <w:pStyle w:val="Compact"/>
        <w:numPr>
          <w:ilvl w:val="0"/>
          <w:numId w:val="1001"/>
        </w:numPr>
      </w:pPr>
      <w:r>
        <w:t xml:space="preserve">V. Requirement Appendix</w:t>
      </w:r>
    </w:p>
    <w:p>
      <w:pPr>
        <w:pStyle w:val="Compact"/>
        <w:numPr>
          <w:ilvl w:val="1"/>
          <w:numId w:val="1014"/>
        </w:numPr>
      </w:pPr>
    </w:p>
    <w:p>
      <w:pPr>
        <w:pStyle w:val="Compact"/>
        <w:numPr>
          <w:ilvl w:val="2"/>
          <w:numId w:val="1015"/>
        </w:numPr>
      </w:pPr>
      <w:r>
        <w:t xml:space="preserve">Business Rules</w:t>
      </w:r>
    </w:p>
    <w:p>
      <w:pPr>
        <w:pStyle w:val="Compact"/>
        <w:numPr>
          <w:ilvl w:val="1"/>
          <w:numId w:val="1014"/>
        </w:numPr>
      </w:pPr>
      <w:r>
        <w:t xml:space="preserve">2. System Messages</w:t>
      </w:r>
    </w:p>
    <w:p>
      <w:pPr>
        <w:pStyle w:val="Compact"/>
        <w:numPr>
          <w:ilvl w:val="1"/>
          <w:numId w:val="1014"/>
        </w:numPr>
      </w:pPr>
      <w:r>
        <w:t xml:space="preserve">3. Other Requirements</w:t>
      </w:r>
    </w:p>
    <w:bookmarkEnd w:id="22"/>
    <w:bookmarkEnd w:id="23"/>
    <w:bookmarkStart w:id="24" w:name="change-log"/>
    <w:p>
      <w:pPr>
        <w:pStyle w:val="Heading1"/>
      </w:pPr>
      <w:r>
        <w:t xml:space="preserve">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A/M/D</w:t>
            </w:r>
          </w:p>
        </w:tc>
        <w:tc>
          <w:tcPr/>
          <w:p>
            <w:pPr>
              <w:pStyle w:val="Compact"/>
            </w:pPr>
            <w:r>
              <w:t xml:space="preserve">In charge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committed changes found for the configured history paths.</w:t>
            </w:r>
          </w:p>
        </w:tc>
      </w:tr>
    </w:tbl>
    <w:bookmarkEnd w:id="24"/>
    <w:bookmarkStart w:id="25" w:name="definitions-and-acronyms"/>
    <w:p>
      <w:pPr>
        <w:pStyle w:val="Heading1"/>
      </w:pPr>
      <w:r>
        <w:t xml:space="preserve">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Customer who can make a workshop booking without a system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Customer with a system account; may use Member-only ready-ring retail and view permitted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50% of the workshop package price, due after a booking invoice is created.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booking</w:t>
            </w:r>
          </w:p>
        </w:tc>
        <w:tc>
          <w:tcPr/>
          <w:p>
            <w:pPr>
              <w:pStyle w:val="Compact"/>
            </w:pPr>
            <w:r>
              <w:t xml:space="preserve">A booking created by Staff for a customer to continue work on a stored work-in-progress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Recorded transfer of a paid ready-ring order to a third-party carrier; V1 does not track the shipment after this point.</w:t>
            </w:r>
          </w:p>
        </w:tc>
      </w:tr>
    </w:tbl>
    <w:bookmarkEnd w:id="25"/>
    <w:bookmarkStart w:id="38" w:name="i.-overall-requirements"/>
    <w:p>
      <w:pPr>
        <w:pStyle w:val="Heading1"/>
      </w:pPr>
      <w:r>
        <w:t xml:space="preserve">I. Overall Requirements</w:t>
      </w:r>
    </w:p>
    <w:bookmarkStart w:id="26" w:name="context-diagram"/>
    <w:p>
      <w:pPr>
        <w:pStyle w:val="Heading2"/>
      </w:pPr>
      <w:r>
        <w:t xml:space="preserve">1. Context Diagram</w:t>
      </w:r>
    </w:p>
    <w:p>
      <w:pPr>
        <w:pStyle w:val="FirstParagraph"/>
      </w:pPr>
      <w:r>
        <w:t xml:space="preserve">The Context Diagram illustrates the system boundaries of the platform and its data interactions with external actors and third-party systems. The system interacts directly with five primary user roles: Guest, who browses products, workshops, and reviews, registers accounts, and submits custom AI design or workshop requests; Member, who manages personal profiles, loyalty points, cart orders, custom AI ring design estimations, payments, and product/service feedback; Staff, who processes custom design quotes, updates product catalogs, handles orders, and manages workshop check-ins; Manager, who reviews analytics dashboards, manages workshop schedules, configures promotions, and approves high-value design quotes; and Admin, who oversees system parameters, security settings, user accounts, and third-party API integrations. Furthermore, the platform integrates seamlessly with several external services and secondary actors: SSO Providers (Google/Facebook) for authentication; Mail Gateway for sending security codes, notifications, and QR tickets; AI Support / AI API for automated chatbot responses and image recognition for custom design valuations; Payment Gateway for online transactions and deposit handling; Google Maps API for synchronizing customer reviews and ratings; Cloud Storage Service for storing media assets; Delivery Providers for logistics management; and an External Registration System for managing external user registration data.</w:t>
      </w:r>
    </w:p>
    <w:p>
      <w:pPr>
        <w:pStyle w:val="BodyText"/>
      </w:pPr>
      <w:r>
        <w:t xml:space="preserve">[Drive asset omitted: r3-context-diagram]</w:t>
      </w:r>
    </w:p>
    <w:bookmarkEnd w:id="26"/>
    <w:bookmarkStart w:id="28" w:name="main-business-flow"/>
    <w:p>
      <w:pPr>
        <w:pStyle w:val="Heading2"/>
      </w:pPr>
      <w:r>
        <w:t xml:space="preserve">2. Main Business Flow</w:t>
      </w:r>
    </w:p>
    <w:bookmarkStart w:id="27" w:name="business-flow-name-code"/>
    <w:p>
      <w:pPr>
        <w:pStyle w:val="Heading3"/>
      </w:pPr>
      <w:r>
        <w:t xml:space="preserve">2.1 (Business Flow Name) (Code)</w:t>
      </w:r>
    </w:p>
    <w:p>
      <w:pPr>
        <w:pStyle w:val="FirstParagraph"/>
      </w:pPr>
      <w:r>
        <w:rPr>
          <w:i/>
          <w:iCs/>
        </w:rPr>
        <w:t xml:space="preserve">Trigger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End condition</w:t>
      </w:r>
      <w:r>
        <w:t xml:space="preserve">:</w:t>
      </w:r>
    </w:p>
    <w:p>
      <w:pPr>
        <w:pStyle w:val="BodyText"/>
      </w:pPr>
      <w:r>
        <w:t xml:space="preserve">(Image placeholder)</w:t>
      </w:r>
    </w:p>
    <w:bookmarkEnd w:id="27"/>
    <w:bookmarkEnd w:id="28"/>
    <w:bookmarkStart w:id="32" w:name="conceptual-data-model"/>
    <w:p>
      <w:pPr>
        <w:pStyle w:val="Heading2"/>
      </w:pPr>
      <w:r>
        <w:t xml:space="preserve">3. Conceptual Data Model</w:t>
      </w:r>
    </w:p>
    <w:bookmarkStart w:id="29" w:name="entity-relationship-diagram"/>
    <w:p>
      <w:pPr>
        <w:pStyle w:val="Heading3"/>
      </w:pPr>
      <w:r>
        <w:t xml:space="preserve">3.1 Entity Relationship Diagram</w:t>
      </w:r>
    </w:p>
    <w:bookmarkEnd w:id="29"/>
    <w:bookmarkStart w:id="30" w:name="entity-descriptions"/>
    <w:p>
      <w:pPr>
        <w:pStyle w:val="Heading3"/>
      </w:pPr>
      <w:r>
        <w:t xml:space="preserve">3.2 Entity Descriptions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i/>
          <w:iCs/>
        </w:rPr>
        <w:t xml:space="preserve">Entity: 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 business attributes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identity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Status/ lifecycle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data-business-rules"/>
    <w:p>
      <w:pPr>
        <w:pStyle w:val="Heading3"/>
      </w:pPr>
      <w:r>
        <w:t xml:space="preserve">3.3 Data Business Rules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Enforced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email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31"/>
    <w:bookmarkEnd w:id="32"/>
    <w:bookmarkStart w:id="37" w:name="user-requirements"/>
    <w:p>
      <w:pPr>
        <w:pStyle w:val="Heading2"/>
      </w:pPr>
      <w:r>
        <w:t xml:space="preserve">4. User Requirements</w:t>
      </w:r>
    </w:p>
    <w:bookmarkStart w:id="33" w:name="a.-screen-flow"/>
    <w:p>
      <w:pPr>
        <w:pStyle w:val="Heading4"/>
      </w:pPr>
      <w:r>
        <w:t xml:space="preserve">a. Screen Flow</w:t>
      </w:r>
    </w:p>
    <w:bookmarkEnd w:id="33"/>
    <w:bookmarkStart w:id="34" w:name="b.-screen-list"/>
    <w:p>
      <w:pPr>
        <w:pStyle w:val="Heading4"/>
      </w:pPr>
      <w:r>
        <w:t xml:space="preserve">b. Screen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 Name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external-api-inventory"/>
    <w:p>
      <w:pPr>
        <w:pStyle w:val="Heading3"/>
      </w:pPr>
      <w:r>
        <w:t xml:space="preserve">5.2 External API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Calling 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background-job-inventory"/>
    <w:p>
      <w:pPr>
        <w:pStyle w:val="Heading3"/>
      </w:pPr>
      <w:r>
        <w:t xml:space="preserve">5.3 Background Job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Job Name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bookmarkStart w:id="42" w:name="ii.-use-case-specifications"/>
    <w:p>
      <w:pPr>
        <w:pStyle w:val="Heading1"/>
      </w:pPr>
      <w:r>
        <w:t xml:space="preserve">II. Use Case Specifications</w:t>
      </w:r>
    </w:p>
    <w:bookmarkStart w:id="40" w:name="feature-name1"/>
    <w:p>
      <w:pPr>
        <w:pStyle w:val="Heading2"/>
      </w:pPr>
      <w:r>
        <w:t xml:space="preserve">1. (Feature Name1)</w:t>
      </w:r>
    </w:p>
    <w:bookmarkStart w:id="39" w:name="uc-name1"/>
    <w:p>
      <w:pPr>
        <w:pStyle w:val="Heading3"/>
      </w:pPr>
      <w:r>
        <w:t xml:space="preserve">1.1 UC 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Secondary Actors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Normal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Alternative Flows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Postconditions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End w:id="40"/>
    <w:bookmarkStart w:id="41" w:name="feature2-name"/>
    <w:p>
      <w:pPr>
        <w:pStyle w:val="Heading2"/>
      </w:pPr>
      <w:r>
        <w:t xml:space="preserve">2. Feature2 name</w:t>
      </w:r>
    </w:p>
    <w:bookmarkEnd w:id="41"/>
    <w:bookmarkEnd w:id="42"/>
    <w:bookmarkStart w:id="63" w:name="iii.-functional-requirements"/>
    <w:p>
      <w:pPr>
        <w:pStyle w:val="Heading1"/>
      </w:pPr>
      <w:r>
        <w:t xml:space="preserve">III. Functional Requirements</w:t>
      </w:r>
    </w:p>
    <w:bookmarkStart w:id="49" w:name="feature-name1-1"/>
    <w:p>
      <w:pPr>
        <w:pStyle w:val="Heading2"/>
      </w:pPr>
      <w:r>
        <w:t xml:space="preserve">1. Feature name1</w:t>
      </w:r>
    </w:p>
    <w:bookmarkStart w:id="45" w:name="subfeature-name1"/>
    <w:p>
      <w:pPr>
        <w:pStyle w:val="Heading3"/>
      </w:pPr>
      <w:r>
        <w:t xml:space="preserve">1.1 SubFeature name1</w:t>
      </w:r>
    </w:p>
    <w:bookmarkStart w:id="43" w:name="screen-name1"/>
    <w:p>
      <w:pPr>
        <w:pStyle w:val="Heading4"/>
      </w:pPr>
      <w:r>
        <w:t xml:space="preserve">1.1.1 Screen 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3"/>
    <w:bookmarkStart w:id="44" w:name="screen-name2"/>
    <w:p>
      <w:pPr>
        <w:pStyle w:val="Heading4"/>
      </w:pPr>
      <w:r>
        <w:t xml:space="preserve">1.1.2 Screen 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4"/>
    <w:bookmarkEnd w:id="45"/>
    <w:bookmarkStart w:id="48" w:name="subfeature-name2"/>
    <w:p>
      <w:pPr>
        <w:pStyle w:val="Heading3"/>
      </w:pPr>
      <w:r>
        <w:t xml:space="preserve">1.2 SubFeature name2</w:t>
      </w:r>
    </w:p>
    <w:bookmarkStart w:id="46" w:name="screen-name1-1"/>
    <w:p>
      <w:pPr>
        <w:pStyle w:val="Heading4"/>
      </w:pPr>
      <w:r>
        <w:t xml:space="preserve">1.1.1 Screen 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6"/>
    <w:bookmarkStart w:id="47" w:name="screen-name2-1"/>
    <w:p>
      <w:pPr>
        <w:pStyle w:val="Heading4"/>
      </w:pPr>
      <w:r>
        <w:t xml:space="preserve">1.1.2 Screen 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47"/>
    <w:bookmarkEnd w:id="48"/>
    <w:bookmarkEnd w:id="49"/>
    <w:bookmarkStart w:id="56" w:name="feature-name2"/>
    <w:p>
      <w:pPr>
        <w:pStyle w:val="Heading2"/>
      </w:pPr>
      <w:r>
        <w:t xml:space="preserve">2. Feature name2</w:t>
      </w:r>
    </w:p>
    <w:bookmarkStart w:id="52" w:name="subfeature-name1-1"/>
    <w:p>
      <w:pPr>
        <w:pStyle w:val="Heading3"/>
      </w:pPr>
      <w:r>
        <w:t xml:space="preserve">2.1 SubFeature name1</w:t>
      </w:r>
    </w:p>
    <w:bookmarkStart w:id="50" w:name="screen-name1-2"/>
    <w:p>
      <w:pPr>
        <w:pStyle w:val="Heading4"/>
      </w:pPr>
      <w:r>
        <w:t xml:space="preserve">2.1.1 Screen 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50"/>
    <w:bookmarkStart w:id="51" w:name="screen-name2-2"/>
    <w:p>
      <w:pPr>
        <w:pStyle w:val="Heading4"/>
      </w:pPr>
      <w:r>
        <w:t xml:space="preserve">2.1.2 Screen 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51"/>
    <w:bookmarkEnd w:id="52"/>
    <w:bookmarkStart w:id="55" w:name="subfeature-name2-1"/>
    <w:p>
      <w:pPr>
        <w:pStyle w:val="Heading3"/>
      </w:pPr>
      <w:r>
        <w:t xml:space="preserve">2.2 SubFeature name2</w:t>
      </w:r>
    </w:p>
    <w:bookmarkStart w:id="53" w:name="screen-name1-3"/>
    <w:p>
      <w:pPr>
        <w:pStyle w:val="Heading4"/>
      </w:pPr>
      <w:r>
        <w:t xml:space="preserve">2.2.1 Screen 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53"/>
    <w:bookmarkStart w:id="54" w:name="screen-name2-3"/>
    <w:p>
      <w:pPr>
        <w:pStyle w:val="Heading4"/>
      </w:pPr>
      <w:r>
        <w:t xml:space="preserve">2.2.2 Screen 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Field Group-Name2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54"/>
    <w:bookmarkEnd w:id="55"/>
    <w:bookmarkEnd w:id="56"/>
    <w:bookmarkStart w:id="59" w:name="x.-background-job-inventory"/>
    <w:p>
      <w:pPr>
        <w:pStyle w:val="Heading2"/>
      </w:pPr>
      <w:r>
        <w:t xml:space="preserve">x. Background Job Inventory</w:t>
      </w:r>
    </w:p>
    <w:bookmarkStart w:id="57" w:name="x.1-job-name-1-code"/>
    <w:p>
      <w:pPr>
        <w:pStyle w:val="Heading3"/>
      </w:pPr>
      <w:r>
        <w:t xml:space="preserve">x.1 Job name 1 (Code)</w:t>
      </w:r>
    </w:p>
    <w:p>
      <w:pPr>
        <w:pStyle w:val="FirstParagraph"/>
      </w:pPr>
      <w:r>
        <w:rPr>
          <w:i/>
          <w:iCs/>
        </w:rPr>
        <w:t xml:space="preserve">Trigger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Purpose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Processing steps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</w:t>
      </w:r>
      <w:r>
        <w:br/>
      </w:r>
      <w:r>
        <w:rPr>
          <w:rStyle w:val="VerbatimChar"/>
        </w:rPr>
        <w:t xml:space="preserve">2. </w:t>
      </w:r>
    </w:p>
    <w:p>
      <w:pPr>
        <w:pStyle w:val="FirstParagraph"/>
      </w:pPr>
      <w:r>
        <w:rPr>
          <w:i/>
          <w:iCs/>
        </w:rPr>
        <w:t xml:space="preserve">Failure behavior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System behavior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x.2-job-name-2-code"/>
    <w:p>
      <w:pPr>
        <w:pStyle w:val="Heading3"/>
      </w:pPr>
      <w:r>
        <w:t xml:space="preserve">x.2 Job name 2 (Code)</w:t>
      </w:r>
    </w:p>
    <w:p>
      <w:pPr>
        <w:pStyle w:val="FirstParagraph"/>
      </w:pPr>
      <w:r>
        <w:rPr>
          <w:i/>
          <w:iCs/>
        </w:rPr>
        <w:t xml:space="preserve">Trigger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Purpose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Processing steps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</w:t>
      </w:r>
      <w:r>
        <w:br/>
      </w:r>
      <w:r>
        <w:rPr>
          <w:rStyle w:val="VerbatimChar"/>
        </w:rPr>
        <w:t xml:space="preserve">2. </w:t>
      </w:r>
    </w:p>
    <w:p>
      <w:pPr>
        <w:pStyle w:val="FirstParagraph"/>
      </w:pPr>
      <w:r>
        <w:rPr>
          <w:i/>
          <w:iCs/>
        </w:rPr>
        <w:t xml:space="preserve">Failure behavior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System behavior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End w:id="59"/>
    <w:bookmarkStart w:id="62" w:name="x1.-external-api-inventory"/>
    <w:p>
      <w:pPr>
        <w:pStyle w:val="Heading2"/>
      </w:pPr>
      <w:r>
        <w:t xml:space="preserve">(x+1). External API Inventory</w:t>
      </w:r>
    </w:p>
    <w:bookmarkStart w:id="60" w:name="x1.1-apiname1-code"/>
    <w:p>
      <w:pPr>
        <w:pStyle w:val="Heading3"/>
      </w:pPr>
      <w:r>
        <w:t xml:space="preserve">(x+1).1 apiname1 (code)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(HTTP method): (URL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</w:p>
        </w:tc>
      </w:tr>
    </w:tbl>
    <w:bookmarkEnd w:id="60"/>
    <w:bookmarkStart w:id="61" w:name="x1.2-apiname2-code"/>
    <w:p>
      <w:pPr>
        <w:pStyle w:val="Heading3"/>
      </w:pPr>
      <w:r>
        <w:t xml:space="preserve">(x+1).2 apiname2 (code)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(HTTP method): (URL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End w:id="62"/>
    <w:bookmarkEnd w:id="63"/>
    <w:bookmarkStart w:id="70" w:name="iv.-non-functional-requirements"/>
    <w:p>
      <w:pPr>
        <w:pStyle w:val="Heading1"/>
      </w:pPr>
      <w:r>
        <w:t xml:space="preserve">IV. Non-functional Requirements</w:t>
      </w:r>
    </w:p>
    <w:p>
      <w:pPr>
        <w:pStyle w:val="FirstParagraph"/>
      </w:pPr>
      <w:r>
        <w:t xml:space="preserve">Security controls, performance targets, availability, accessibility acceptance criteria, data-retention periods, logging implementation, and deployment constraints are</w:t>
      </w:r>
      <w:r>
        <w:t xml:space="preserve"> </w:t>
      </w:r>
      <w:r>
        <w:rPr>
          <w:rStyle w:val="VerbatimChar"/>
        </w:rPr>
        <w:t xml:space="preserve">TBD</w:t>
      </w:r>
      <w:r>
        <w:t xml:space="preserve">. The current baseline only establishes that sensitive payment confirmation must be verified, consented reference images must not be used outside their approved purpose, and all business overrides must be auditable.</w:t>
      </w:r>
    </w:p>
    <w:p>
      <w:pPr>
        <w:pStyle w:val="BodyText"/>
      </w:pPr>
      <w:r>
        <w:t xml:space="preserve">The approved V1 implementation convention is a Spring Modulith modular monolith. Business modules own their web, application, domain, infrastructure, and audit concerns; another module may use only an explicitly exposed facade. This convention does not resolve the outstanding security, payment-provider, retention, logging, or deployment</w:t>
      </w:r>
      <w:r>
        <w:t xml:space="preserve"> </w:t>
      </w:r>
      <w:r>
        <w:rPr>
          <w:rStyle w:val="VerbatimChar"/>
        </w:rPr>
        <w:t xml:space="preserve">TBD</w:t>
      </w:r>
      <w:r>
        <w:t xml:space="preserve"> </w:t>
      </w:r>
      <w:r>
        <w:t xml:space="preserve">items. See</w:t>
      </w:r>
      <w:r>
        <w:t xml:space="preserve"> </w:t>
      </w:r>
      <w:hyperlink r:id="rId64">
        <w:r>
          <w:rPr>
            <w:rStyle w:val="Hyperlink"/>
          </w:rPr>
          <w:t xml:space="preserve">Architecture convention</w:t>
        </w:r>
      </w:hyperlink>
      <w:r>
        <w:t xml:space="preserve">.</w:t>
      </w:r>
    </w:p>
    <w:bookmarkStart w:id="65" w:name="external-interfaces"/>
    <w:p>
      <w:pPr>
        <w:pStyle w:val="Heading2"/>
      </w:pPr>
      <w:r>
        <w:t xml:space="preserve">1. External Interfaces</w:t>
      </w:r>
    </w:p>
    <w:bookmarkEnd w:id="65"/>
    <w:bookmarkStart w:id="69" w:name="quality-attributes"/>
    <w:p>
      <w:pPr>
        <w:pStyle w:val="Heading2"/>
      </w:pPr>
      <w:r>
        <w:t xml:space="preserve">2. Quality Attributes</w:t>
      </w:r>
    </w:p>
    <w:bookmarkStart w:id="66" w:name="usability"/>
    <w:p>
      <w:pPr>
        <w:pStyle w:val="Heading3"/>
      </w:pPr>
      <w:r>
        <w:t xml:space="preserve">2.1 Usability</w:t>
      </w:r>
    </w:p>
    <w:bookmarkEnd w:id="66"/>
    <w:bookmarkStart w:id="67" w:name="performance"/>
    <w:p>
      <w:pPr>
        <w:pStyle w:val="Heading3"/>
      </w:pPr>
      <w:r>
        <w:t xml:space="preserve">2.2 Performance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67"/>
    <w:bookmarkStart w:id="68" w:name="security"/>
    <w:p>
      <w:pPr>
        <w:pStyle w:val="Heading3"/>
      </w:pPr>
      <w:r>
        <w:t xml:space="preserve">2.3 Security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68"/>
    <w:bookmarkEnd w:id="69"/>
    <w:bookmarkEnd w:id="70"/>
    <w:bookmarkStart w:id="75" w:name="v.-requirement-appendix"/>
    <w:p>
      <w:pPr>
        <w:pStyle w:val="Heading1"/>
      </w:pPr>
      <w:r>
        <w:t xml:space="preserve">V. Requirement Appendix</w:t>
      </w:r>
    </w:p>
    <w:p>
      <w:pPr>
        <w:pStyle w:val="FirstParagraph"/>
      </w:pPr>
      <w:r>
        <w:t xml:space="preserve">The detailed traceability matrix, data dictionary, business-rule tracker, NFR tracker, and historical open-issue material remain in the legacy local archive while their approved baseline is incorporated above. They will be reintroduced in the new template when each area has sufficient evidence.</w:t>
      </w:r>
    </w:p>
    <w:p>
      <w:pPr>
        <w:pStyle w:val="Compact"/>
        <w:numPr>
          <w:ilvl w:val="0"/>
          <w:numId w:val="1016"/>
        </w:numPr>
      </w:pPr>
      <w:hyperlink r:id="rId71">
        <w:r>
          <w:rPr>
            <w:rStyle w:val="Hyperlink"/>
          </w:rPr>
          <w:t xml:space="preserve">Architecture convention</w:t>
        </w:r>
      </w:hyperlink>
      <w:r>
        <w:t xml:space="preserve"> </w:t>
      </w:r>
      <w:r>
        <w:t xml:space="preserve">defines V1 modular-monolith ownership and dependency boundaries.</w:t>
      </w:r>
    </w:p>
    <w:bookmarkStart w:id="72" w:name="business-rules"/>
    <w:p>
      <w:pPr>
        <w:pStyle w:val="Heading2"/>
      </w:pPr>
      <w:r>
        <w:t xml:space="preserve">1. Business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GBR-ID</w:t>
            </w:r>
          </w:p>
        </w:tc>
        <w:tc>
          <w:tcPr/>
          <w:p>
            <w:pPr>
              <w:pStyle w:val="Compact"/>
            </w:pPr>
            <w:r>
              <w:t xml:space="preserve">Rule Statement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system-messages"/>
    <w:p>
      <w:pPr>
        <w:pStyle w:val="Heading2"/>
      </w:pPr>
      <w:r>
        <w:t xml:space="preserve">2. System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Message Code</w:t>
            </w:r>
          </w:p>
        </w:tc>
        <w:tc>
          <w:tcPr/>
          <w:p>
            <w:pPr>
              <w:pStyle w:val="Compac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MSG01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MSG02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MSG03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73"/>
    <w:bookmarkStart w:id="74" w:name="other-requirements"/>
    <w:p>
      <w:pPr>
        <w:pStyle w:val="Heading2"/>
      </w:pPr>
      <w:r>
        <w:t xml:space="preserve">3. Other Requirements</w:t>
      </w:r>
    </w:p>
    <w:p>
      <w:pPr>
        <w:pStyle w:val="FirstParagraph"/>
      </w:pPr>
      <w:r>
        <w:t xml:space="preserve">…</w:t>
      </w:r>
    </w:p>
    <w:bookmarkEnd w:id="74"/>
    <w:bookmarkEnd w:id="75"/>
    <w:sectPr w:rsidR="00A42875" w:rsidSect="004812DA">
      <w:headerReference r:id="rId7" w:type="even"/>
      <w:headerReference r:id="rId8" w:type="default"/>
      <w:footerReference r:id="rId9" w:type="even"/>
      <w:footerReference r:id="rId10" w:type="default"/>
      <w:headerReference r:id="rId11" w:type="first"/>
      <w:footerReference r:id="rId12" w:type="first"/>
      <w:footnotePr>
        <w:numRestart w:val="eachSect"/>
      </w:footnotePr>
      <w:pgSz w:h="16838" w:w="11906"/>
      <w:pgMar w:bottom="1080" w:footer="504" w:gutter="0" w:header="504" w:left="1080" w:right="1080" w:top="108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09A9" w14:textId="77777777" w:rsidR="00E91597" w:rsidRDefault="00E91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C77D" w14:textId="77777777" w:rsidR="00E91597" w:rsidRDefault="00E915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F1A8C" w14:textId="77777777" w:rsidR="00E91597" w:rsidRDefault="00E9159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C787" w14:textId="77777777" w:rsidR="00E91597" w:rsidRDefault="00E91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9BCCA" w14:textId="77777777" w:rsidR="00E91597" w:rsidRDefault="00E91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E2F5" w14:textId="77777777" w:rsidR="00E91597" w:rsidRDefault="00E91597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F74ECDE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BC0798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83ACF02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526D40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2E23F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57CDA4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51075C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D3C423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94D8A87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13E23D9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386CE8A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8B1"/>
    <w:rsid w:val="003038B1"/>
    <w:rsid w:val="004812DA"/>
    <w:rsid w:val="009E4672"/>
    <w:rsid w:val="00A42875"/>
    <w:rsid w:val="00A87D21"/>
    <w:rsid w:val="00CC5403"/>
    <w:rsid w:val="00E9159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after="120"/>
    </w:pPr>
    <w:rPr>
      <w:rFonts w:ascii="Arial" w:cs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CC5403"/>
    <w:pPr>
      <w:keepNext/>
      <w:keepLines/>
      <w:spacing w:before="360"/>
      <w:outlineLvl w:val="0"/>
    </w:pPr>
    <w:rPr>
      <w:rFonts w:ascii="Calibri Light" w:eastAsiaTheme="majorEastAsia" w:hAnsi="Calibri Light"/>
      <w:b/>
      <w:color w:val="C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eastAsiaTheme="majorEastAsia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eastAsiaTheme="majorEastAsia"/>
      <w:b/>
      <w:color w:val="1F3864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eastAsiaTheme="majorEastAsia"/>
      <w:b/>
      <w:i/>
      <w:iCs/>
      <w:color w:val="1F3864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C5403"/>
    <w:rPr>
      <w:rFonts w:ascii="Calibri Light" w:cs="Arial" w:eastAsiaTheme="majorEastAsia" w:hAnsi="Calibri Light"/>
      <w:b/>
      <w:color w:val="C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Theme="majorEastAsia" w:hAnsi="Arial"/>
      <w:b/>
      <w:color w:val="1F3864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Theme="majorEastAsia" w:hAnsi="Arial"/>
      <w:b/>
      <w:color w:val="1F3864"/>
      <w:sz w:val="23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Theme="majorEastAsia" w:hAnsi="Arial"/>
      <w:b/>
      <w:i/>
      <w:iCs/>
      <w:color w:val="1F3864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TableGrid"/>
    <w:semiHidden/>
    <w:unhideWhenUsed/>
    <w:qFormat/>
    <w:rPr>
      <w:rFonts w:ascii="Arial" w:cs="Arial" w:hAnsi="Arial"/>
      <w:sz w:val="19"/>
      <w:szCs w:val="20"/>
      <w:lang w:eastAsia="ja-JP"/>
    </w:rPr>
    <w:tblPr/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color w:themeColor="accent1" w:themeShade="BF" w:val="0F4761"/>
    </w:rPr>
  </w:style>
  <w:style w:styleId="TableGrid" w:type="table">
    <w:name w:val="Table Grid"/>
    <w:basedOn w:val="TableNormal"/>
    <w:rsid w:val="004812D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nhideWhenUsed/>
    <w:rsid w:val="00E91597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rsid w:val="00E91597"/>
    <w:rPr>
      <w:rFonts w:ascii="Arial" w:cs="Arial" w:hAnsi="Arial"/>
      <w:sz w:val="20"/>
    </w:rPr>
  </w:style>
  <w:style w:styleId="Footer" w:type="paragraph">
    <w:name w:val="footer"/>
    <w:basedOn w:val="Normal"/>
    <w:link w:val="FooterChar"/>
    <w:unhideWhenUsed/>
    <w:rsid w:val="00E91597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E91597"/>
    <w:rPr>
      <w:rFonts w:ascii="Arial" w:cs="Arial" w:hAnsi="Arial"/>
      <w:sz w:val="20"/>
    </w:rPr>
  </w:style>
  <w:style w:customStyle="1" w:styleId="GuidanceText" w:type="paragraph">
    <w:name w:val="Guidance Text"/>
    <w:basedOn w:val="Normal"/>
  </w:style>
  <w:style w:customStyle="1" w:styleId="CalloutGuidance" w:type="table">
    <w:name w:val="Callout Guidance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BEAF7" w:val="clear"/>
      </w:tcPr>
    </w:tblStylePr>
  </w:style>
  <w:style w:customStyle="1" w:styleId="ExampleText" w:type="paragraph">
    <w:name w:val="Example Text"/>
    <w:basedOn w:val="Normal"/>
  </w:style>
  <w:style w:customStyle="1" w:styleId="CalloutExample" w:type="table">
    <w:name w:val="Callout Example"/>
    <w:basedOn w:val="TableGrid"/>
    <w:rPr>
      <w:rFonts w:ascii="Arial" w:hAnsi="Arial"/>
      <w:sz w:val="19"/>
    </w:rPr>
    <w:tblPr>
      <w:tblBorders>
        <w:top w:color="70AD47" w:space="0" w:sz="6" w:val="single"/>
        <w:left w:color="70AD47" w:space="0" w:sz="6" w:val="single"/>
        <w:bottom w:color="70AD47" w:space="0" w:sz="6" w:val="single"/>
        <w:right w:color="70AD47" w:space="0" w:sz="6" w:val="single"/>
        <w:insideH w:color="70AD47" w:space="0" w:sz="6" w:val="single"/>
        <w:insideV w:color="70AD47" w:space="0" w:sz="6" w:val="single"/>
      </w:tblBorders>
    </w:tblPr>
    <w:tblStylePr w:type="firstRow">
      <w:tblPr/>
      <w:tcPr>
        <w:shd w:color="auto" w:fill="E2F0D9" w:val="clear"/>
      </w:tcPr>
    </w:tblStylePr>
  </w:style>
  <w:style w:customStyle="1" w:styleId="DiagramText" w:type="paragraph">
    <w:name w:val="Diagram Text"/>
    <w:basedOn w:val="Normal"/>
  </w:style>
  <w:style w:customStyle="1" w:styleId="CalloutDiagram" w:type="table">
    <w:name w:val="Callout Diagram"/>
    <w:basedOn w:val="TableGrid"/>
    <w:rPr>
      <w:rFonts w:ascii="Arial" w:hAnsi="Arial"/>
      <w:sz w:val="19"/>
    </w:rPr>
    <w:tblPr>
      <w:tblBorders>
        <w:top w:color="8064A2" w:space="0" w:sz="6" w:val="single"/>
        <w:left w:color="8064A2" w:space="0" w:sz="6" w:val="single"/>
        <w:bottom w:color="8064A2" w:space="0" w:sz="6" w:val="single"/>
        <w:right w:color="8064A2" w:space="0" w:sz="6" w:val="single"/>
        <w:insideH w:color="8064A2" w:space="0" w:sz="6" w:val="single"/>
        <w:insideV w:color="8064A2" w:space="0" w:sz="6" w:val="single"/>
      </w:tblBorders>
    </w:tblPr>
    <w:tblStylePr w:type="firstRow">
      <w:tblPr/>
      <w:tcPr>
        <w:shd w:color="auto" w:fill="E4DFEC" w:val="clear"/>
      </w:tcPr>
    </w:tblStylePr>
  </w:style>
  <w:style w:customStyle="1" w:styleId="ReferenceText" w:type="paragraph">
    <w:name w:val="Reference Text"/>
    <w:basedOn w:val="Normal"/>
  </w:style>
  <w:style w:customStyle="1" w:styleId="CalloutReference" w:type="table">
    <w:name w:val="Callout Reference"/>
    <w:basedOn w:val="TableGrid"/>
    <w:rPr>
      <w:rFonts w:ascii="Arial" w:hAnsi="Arial"/>
      <w:sz w:val="19"/>
    </w:rPr>
    <w:tblPr>
      <w:tblBorders>
        <w:top w:color="7F7F7F" w:space="0" w:sz="6" w:val="single"/>
        <w:left w:color="7F7F7F" w:space="0" w:sz="6" w:val="single"/>
        <w:bottom w:color="7F7F7F" w:space="0" w:sz="6" w:val="single"/>
        <w:right w:color="7F7F7F" w:space="0" w:sz="6" w:val="single"/>
        <w:insideH w:color="7F7F7F" w:space="0" w:sz="6" w:val="single"/>
        <w:insideV w:color="7F7F7F" w:space="0" w:sz="6" w:val="single"/>
      </w:tblBorders>
    </w:tblPr>
    <w:tblStylePr w:type="firstRow">
      <w:tblPr/>
      <w:tcPr>
        <w:shd w:color="auto" w:fill="E7E6E6" w:val="clear"/>
      </w:tcPr>
    </w:tblStylePr>
  </w:style>
  <w:style w:customStyle="1" w:styleId="RequiredText" w:type="paragraph">
    <w:name w:val="Required Text"/>
    <w:basedOn w:val="Normal"/>
  </w:style>
  <w:style w:customStyle="1" w:styleId="CalloutRequired" w:type="table">
    <w:name w:val="Callout Required"/>
    <w:basedOn w:val="TableGrid"/>
    <w:rPr>
      <w:rFonts w:ascii="Arial" w:hAnsi="Arial"/>
      <w:sz w:val="19"/>
    </w:rPr>
    <w:tblPr>
      <w:tblBorders>
        <w:top w:color="C00000" w:space="0" w:sz="6" w:val="single"/>
        <w:left w:color="C00000" w:space="0" w:sz="6" w:val="single"/>
        <w:bottom w:color="C00000" w:space="0" w:sz="6" w:val="single"/>
        <w:right w:color="C00000" w:space="0" w:sz="6" w:val="single"/>
        <w:insideH w:color="C00000" w:space="0" w:sz="6" w:val="single"/>
        <w:insideV w:color="C00000" w:space="0" w:sz="6" w:val="single"/>
      </w:tblBorders>
    </w:tblPr>
    <w:tblStylePr w:type="firstRow">
      <w:tblPr/>
      <w:tcPr>
        <w:shd w:color="auto" w:fill="FCE4D6" w:val="clear"/>
      </w:tcPr>
    </w:tblStylePr>
  </w:style>
  <w:style w:customStyle="1" w:styleId="CautionText" w:type="paragraph">
    <w:name w:val="Caution Text"/>
    <w:basedOn w:val="Normal"/>
  </w:style>
  <w:style w:customStyle="1" w:styleId="CalloutCaution" w:type="table">
    <w:name w:val="Callout Caution"/>
    <w:basedOn w:val="TableGrid"/>
    <w:rPr>
      <w:rFonts w:ascii="Arial" w:hAnsi="Arial"/>
      <w:sz w:val="19"/>
    </w:rPr>
    <w:tblPr>
      <w:tblBorders>
        <w:top w:color="BF9000" w:space="0" w:sz="6" w:val="single"/>
        <w:left w:color="BF9000" w:space="0" w:sz="6" w:val="single"/>
        <w:bottom w:color="BF9000" w:space="0" w:sz="6" w:val="single"/>
        <w:right w:color="BF9000" w:space="0" w:sz="6" w:val="single"/>
        <w:insideH w:color="BF9000" w:space="0" w:sz="6" w:val="single"/>
        <w:insideV w:color="BF9000" w:space="0" w:sz="6" w:val="single"/>
      </w:tblBorders>
    </w:tblPr>
    <w:tblStylePr w:type="firstRow">
      <w:tblPr/>
      <w:tcPr>
        <w:shd w:color="auto" w:fill="FFF2CC" w:val="clear"/>
      </w:tcPr>
    </w:tblStylePr>
  </w:style>
  <w:style w:customStyle="1" w:styleId="DataTable" w:type="table">
    <w:name w:val="Data Table"/>
    <w:basedOn w:val="TableGrid"/>
    <w:rPr>
      <w:rFonts w:ascii="Arial" w:hAnsi="Arial"/>
      <w:sz w:val="19"/>
    </w:rPr>
    <w:tblPr>
      <w:tblBorders>
        <w:top w:color="7F7F7F" w:space="0" w:sz="6" w:val="single"/>
        <w:left w:color="7F7F7F" w:space="0" w:sz="6" w:val="single"/>
        <w:bottom w:color="7F7F7F" w:space="0" w:sz="6" w:val="single"/>
        <w:right w:color="7F7F7F" w:space="0" w:sz="6" w:val="single"/>
        <w:insideH w:color="7F7F7F" w:space="0" w:sz="6" w:val="single"/>
        <w:insideV w:color="7F7F7F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MetadataTable" w:type="table">
    <w:name w:val="Metadata Table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ChangeHistory" w:type="table">
    <w:name w:val="Change History"/>
    <w:basedOn w:val="TableGrid"/>
    <w:rPr>
      <w:rFonts w:ascii="Arial" w:hAnsi="Arial"/>
      <w:sz w:val="19"/>
    </w:rPr>
    <w:tblPr>
      <w:tblBorders>
        <w:top w:color="5B9BD5" w:space="0" w:sz="6" w:val="single"/>
        <w:left w:color="5B9BD5" w:space="0" w:sz="6" w:val="single"/>
        <w:bottom w:color="5B9BD5" w:space="0" w:sz="6" w:val="single"/>
        <w:right w:color="5B9BD5" w:space="0" w:sz="6" w:val="single"/>
        <w:insideH w:color="5B9BD5" w:space="0" w:sz="6" w:val="single"/>
        <w:insideV w:color="5B9BD5" w:space="0" w:sz="6" w:val="single"/>
      </w:tblBorders>
    </w:tblPr>
    <w:tblStylePr w:type="firstRow">
      <w:tblPr/>
      <w:tcPr>
        <w:shd w:color="auto" w:fill="D9E2F3" w:val="clear"/>
      </w:tcPr>
    </w:tblStylePr>
  </w:style>
  <w:style w:customStyle="1" w:styleId="Placeholder" w:type="character">
    <w:name w:val="Placeholder"/>
    <w:rPr>
      <w:rFonts w:ascii="Arial" w:hAnsi="Arial"/>
      <w:i/>
      <w:color w:val="7F7F7F"/>
      <w:sz w:val="20"/>
    </w:rPr>
  </w:style>
  <w:style w:customStyle="1" w:styleId="BodyTextChar" w:type="character">
    <w:name w:val="Body Text Char"/>
    <w:basedOn w:val="DefaultParagraphFont"/>
    <w:link w:val="BodyText"/>
    <w:rsid w:val="00CC5403"/>
    <w:rPr>
      <w:rFonts w:ascii="Arial" w:cs="Arial" w:hAnsi="Arial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header2.xml" Type="http://schemas.openxmlformats.org/officeDocument/2006/relationships/header" /><Relationship Id="rId7" Target="header1.xml" Type="http://schemas.openxmlformats.org/officeDocument/2006/relationships/header" /><Relationship Id="rId12" Target="footer3.xml" Type="http://schemas.openxmlformats.org/officeDocument/2006/relationships/footer" /><Relationship Id="rId11" Target="header3.xml" Type="http://schemas.openxmlformats.org/officeDocument/2006/relationships/header" /><Relationship Id="rId10" Target="footer2.xml" Type="http://schemas.openxmlformats.org/officeDocument/2006/relationships/footer" /><Relationship Id="rId9" Target="footer1.xml" Type="http://schemas.openxmlformats.org/officeDocument/2006/relationships/footer" /><Relationship Type="http://schemas.openxmlformats.org/officeDocument/2006/relationships/hyperlink" Id="rId64" Target="../07-appendices/01-architecture-convention.md" TargetMode="External" /><Relationship Type="http://schemas.openxmlformats.org/officeDocument/2006/relationships/hyperlink" Id="rId71" Target="01-architecture-conven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07-appendices/01-architecture-convention.md" TargetMode="External" /><Relationship Type="http://schemas.openxmlformats.org/officeDocument/2006/relationships/hyperlink" Id="rId71" Target="01-architecture-conven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2026-10-03T08:14:14Z</dcterms:created>
  <dcterms:modified xsi:type="dcterms:W3CDTF">2026-10-03T08:14:14Z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