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E1CB9">
      <w:pPr>
        <w:jc w:val="center"/>
      </w:pPr>
      <w:r>
        <w:rPr>
          <w:rFonts w:ascii="Times New Roman" w:hAnsi="Times New Roman" w:eastAsia="Times New Roman"/>
          <w:b/>
          <w:sz w:val="36"/>
        </w:rPr>
        <w:t>QUẢN LÝ PRODUCT BACKLOG</w:t>
      </w:r>
      <w:r>
        <w:rPr>
          <w:rFonts w:ascii="Times New Roman" w:hAnsi="Times New Roman" w:eastAsia="Times New Roman"/>
          <w:b/>
          <w:sz w:val="36"/>
        </w:rPr>
        <w:br w:type="textWrapping"/>
      </w:r>
      <w:r>
        <w:rPr>
          <w:rFonts w:ascii="Times New Roman" w:hAnsi="Times New Roman" w:eastAsia="Times New Roman"/>
          <w:b/>
          <w:sz w:val="36"/>
        </w:rPr>
        <w:t>CHƯƠNG TRÌNH “GREENMART LOYALTY”</w:t>
      </w:r>
    </w:p>
    <w:p w14:paraId="1B907888">
      <w:pPr>
        <w:pStyle w:val="2"/>
      </w:pPr>
      <w:bookmarkStart w:id="0" w:name="_GoBack"/>
      <w:bookmarkEnd w:id="0"/>
      <w:r>
        <w:t>PHẦN A — THIẾT KẾ VẬN HÀNH SCRUM</w:t>
      </w:r>
    </w:p>
    <w:p w14:paraId="5939F022">
      <w:pPr>
        <w:pStyle w:val="3"/>
      </w:pPr>
      <w:r>
        <w:t>1. Độ dài Sprint</w:t>
      </w:r>
    </w:p>
    <w:p w14:paraId="47A3C38B">
      <w:r>
        <w:t>Chọn Sprint cố định 2 tuần, tương ứng 4 Sprint trong giai đoạn 8 tuần. Khoảng thời gian này đủ để đội Hoa tạo ra phần tăng trưởng sản phẩm có thể kiểm thử, đồng thời nhận phản hồi thường xuyên từ Marketing, Kế toán và người dùng mà không phải chờ đến cuối dự án.</w:t>
      </w:r>
    </w:p>
    <w:p w14:paraId="0C8FAFCD">
      <w:pPr>
        <w:pStyle w:val="3"/>
      </w:pPr>
      <w:r>
        <w:t>2. Phân chia 3 vai trò Scrum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8352"/>
      </w:tblGrid>
      <w:tr w14:paraId="4A67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C6E0B4"/>
            <w:vAlign w:val="center"/>
          </w:tcPr>
          <w:p w14:paraId="076B91A5">
            <w:pPr>
              <w:spacing w:after="40" w:line="240" w:lineRule="auto"/>
            </w:pPr>
            <w:r>
              <w:rPr>
                <w:rFonts w:ascii="Times New Roman" w:hAnsi="Times New Roman" w:eastAsia="Times New Roman"/>
                <w:b/>
                <w:sz w:val="20"/>
              </w:rPr>
              <w:t>Vai trò</w:t>
            </w:r>
          </w:p>
        </w:tc>
        <w:tc>
          <w:tcPr>
            <w:tcW w:w="8352" w:type="dxa"/>
            <w:shd w:val="clear" w:color="auto" w:fill="C6E0B4"/>
            <w:vAlign w:val="center"/>
          </w:tcPr>
          <w:p w14:paraId="0A7F329E">
            <w:pPr>
              <w:spacing w:after="40" w:line="240" w:lineRule="auto"/>
            </w:pPr>
            <w:r>
              <w:rPr>
                <w:rFonts w:ascii="Times New Roman" w:hAnsi="Times New Roman" w:eastAsia="Times New Roman"/>
                <w:b/>
                <w:sz w:val="20"/>
              </w:rPr>
              <w:t>Trách nhiệm trong GreenMart Loyalty</w:t>
            </w:r>
          </w:p>
        </w:tc>
      </w:tr>
      <w:tr w14:paraId="1EF9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4BB885DF">
            <w:pPr>
              <w:spacing w:after="40" w:line="240" w:lineRule="auto"/>
            </w:pPr>
            <w:r>
              <w:rPr>
                <w:rFonts w:ascii="Times New Roman" w:hAnsi="Times New Roman" w:eastAsia="Times New Roman"/>
                <w:b w:val="0"/>
                <w:sz w:val="20"/>
              </w:rPr>
              <w:t>Product Owner (PO)</w:t>
            </w:r>
          </w:p>
        </w:tc>
        <w:tc>
          <w:tcPr>
            <w:tcW w:w="8352" w:type="dxa"/>
            <w:vAlign w:val="center"/>
          </w:tcPr>
          <w:p w14:paraId="3F53758D">
            <w:pPr>
              <w:spacing w:after="40" w:line="240" w:lineRule="auto"/>
            </w:pPr>
            <w:r>
              <w:rPr>
                <w:rFonts w:ascii="Times New Roman" w:hAnsi="Times New Roman" w:eastAsia="Times New Roman"/>
                <w:b w:val="0"/>
                <w:sz w:val="20"/>
              </w:rPr>
              <w:t>Chịu trách nhiệm tối đa hóa giá trị sản phẩm; làm rõ mục tiêu Loyalty; thu thập và thống nhất nhu cầu từ Marketing, Kế toán và người dùng; sắp xếp thứ tự Product Backlog; quyết định thứ tự ưu tiên và làm rõ các tiêu chí chấp nhận. PO là đầu mối quyết định ưu tiên nghiệp vụ.</w:t>
            </w:r>
          </w:p>
        </w:tc>
      </w:tr>
      <w:tr w14:paraId="5B05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7C818C13">
            <w:pPr>
              <w:spacing w:after="40" w:line="240" w:lineRule="auto"/>
            </w:pPr>
            <w:r>
              <w:rPr>
                <w:rFonts w:ascii="Times New Roman" w:hAnsi="Times New Roman" w:eastAsia="Times New Roman"/>
                <w:b w:val="0"/>
                <w:sz w:val="20"/>
              </w:rPr>
              <w:t>Scrum Master (SM)</w:t>
            </w:r>
          </w:p>
        </w:tc>
        <w:tc>
          <w:tcPr>
            <w:tcW w:w="8352" w:type="dxa"/>
            <w:vAlign w:val="center"/>
          </w:tcPr>
          <w:p w14:paraId="0A469CC1">
            <w:pPr>
              <w:spacing w:after="40" w:line="240" w:lineRule="auto"/>
            </w:pPr>
            <w:r>
              <w:rPr>
                <w:rFonts w:ascii="Times New Roman" w:hAnsi="Times New Roman" w:eastAsia="Times New Roman"/>
                <w:b w:val="0"/>
                <w:sz w:val="20"/>
              </w:rPr>
              <w:t>Giúp đội hiểu và thực hành Scrum; tổ chức/đảm bảo các sự kiện Scrum diễn ra hiệu quả; loại bỏ trở ngại; hỗ trợ PO quản lý Backlog; bảo vệ đội khỏi việc đưa thay đổi tùy tiện vào Sprint đang chạy; điều phối trao đổi khi có yêu cầu phát sinh.</w:t>
            </w:r>
          </w:p>
        </w:tc>
      </w:tr>
      <w:tr w14:paraId="026C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7E065320">
            <w:pPr>
              <w:spacing w:after="40" w:line="240" w:lineRule="auto"/>
            </w:pPr>
            <w:r>
              <w:rPr>
                <w:rFonts w:ascii="Times New Roman" w:hAnsi="Times New Roman" w:eastAsia="Times New Roman"/>
                <w:b w:val="0"/>
                <w:sz w:val="20"/>
              </w:rPr>
              <w:t>Development Team</w:t>
            </w:r>
          </w:p>
        </w:tc>
        <w:tc>
          <w:tcPr>
            <w:tcW w:w="8352" w:type="dxa"/>
            <w:vAlign w:val="center"/>
          </w:tcPr>
          <w:p w14:paraId="31ABC6DD">
            <w:pPr>
              <w:spacing w:after="40" w:line="240" w:lineRule="auto"/>
            </w:pPr>
            <w:r>
              <w:rPr>
                <w:rFonts w:ascii="Times New Roman" w:hAnsi="Times New Roman" w:eastAsia="Times New Roman"/>
                <w:b w:val="0"/>
                <w:sz w:val="20"/>
              </w:rPr>
              <w:t>Tự tổ chức để lập kế hoạch và thực hiện công việc trong Sprint; phân tích, thiết kế, lập trình, kiểm thử và tích hợp; tạo Increment đáp ứng Definition of Done; cập nhật tiến độ minh bạch và phối hợp xử lý lỗi. Đội tự quyết định cách thực hiện công việc, không tự ý thay đổi mục tiêu nghiệp vụ.</w:t>
            </w:r>
          </w:p>
        </w:tc>
      </w:tr>
    </w:tbl>
    <w:p w14:paraId="507342EE"/>
    <w:p w14:paraId="151AD5F1">
      <w:pPr>
        <w:pStyle w:val="3"/>
      </w:pPr>
      <w:r>
        <w:t>3. Sự kiện Scrum quan trọng nhất</w:t>
      </w:r>
    </w:p>
    <w:p w14:paraId="147EE627">
      <w:r>
        <w:t>Chọn Sprint Review. Cuối mỗi Sprint, đội trình bày Increment đã hoàn thành cho PO và các bên liên quan để nhận phản hồi về quy tắc tích/đổi điểm, tính minh bạch giao dịch và trải nghiệm người dùng. Sự kiện này thể hiện rõ nhất trụ cột Thích nghi: phản hồi được dùng để điều chỉnh Product Backlog cho các Sprint tiếp theo; đồng thời kết quả thực tế giúp tăng Minh bạch và hỗ trợ Thanh tra.</w:t>
      </w:r>
    </w:p>
    <w:p w14:paraId="35CFF287">
      <w:pPr>
        <w:pStyle w:val="2"/>
      </w:pPr>
      <w:r>
        <w:t>PHẦN B — PRODUCT BACKLOG VÀ ƯU TIÊN MOSCOW</w:t>
      </w:r>
    </w:p>
    <w:p w14:paraId="63A9A1E4">
      <w:pPr>
        <w:pStyle w:val="3"/>
      </w:pPr>
      <w:r>
        <w:t>1. Tiêu chí ưu tiên</w:t>
      </w:r>
    </w:p>
    <w:p w14:paraId="38A2C381">
      <w:r>
        <w:t>Áp dụng các tiêu chí sau để tránh xếp loại cảm tính: (1) Tuân thủ quy tắc cốt lõi và tránh sai lệch số dư điểm; (2) Đáp ứng yêu cầu bắt buộc của Marketing/Kế toán; (3) Giúp khách hàng hiểu số dư, lịch sử và hạn điểm; (4) Giá trị tăng thêm so với nguồn lực 8 tuần. Must have là điều kiện tối thiểu để chương trình chạy đúng và đáng tin cậy; Should have quan trọng nhưng có thể triển khai sau nếu thiếu năng lực; Could have là cải tiến hữu ích; Won’t have this time là chủ động chưa làm trong đợt 8 tuần.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4032"/>
        <w:gridCol w:w="1440"/>
        <w:gridCol w:w="4032"/>
      </w:tblGrid>
      <w:tr w14:paraId="26C8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C6E0B4"/>
            <w:vAlign w:val="center"/>
          </w:tcPr>
          <w:p w14:paraId="3FA01917">
            <w:pPr>
              <w:spacing w:after="40" w:line="240" w:lineRule="auto"/>
            </w:pPr>
            <w:r>
              <w:rPr>
                <w:rFonts w:ascii="Times New Roman" w:hAnsi="Times New Roman" w:eastAsia="Times New Roman"/>
                <w:b/>
                <w:sz w:val="20"/>
              </w:rPr>
              <w:t>ID</w:t>
            </w:r>
          </w:p>
        </w:tc>
        <w:tc>
          <w:tcPr>
            <w:tcW w:w="4032" w:type="dxa"/>
            <w:shd w:val="clear" w:color="auto" w:fill="C6E0B4"/>
            <w:vAlign w:val="center"/>
          </w:tcPr>
          <w:p w14:paraId="58C1E5FF">
            <w:pPr>
              <w:spacing w:after="40" w:line="240" w:lineRule="auto"/>
            </w:pPr>
            <w:r>
              <w:rPr>
                <w:rFonts w:ascii="Times New Roman" w:hAnsi="Times New Roman" w:eastAsia="Times New Roman"/>
                <w:b/>
                <w:sz w:val="20"/>
              </w:rPr>
              <w:t>Hạng mục Product Backlog</w:t>
            </w:r>
          </w:p>
        </w:tc>
        <w:tc>
          <w:tcPr>
            <w:tcW w:w="1440" w:type="dxa"/>
            <w:shd w:val="clear" w:color="auto" w:fill="C6E0B4"/>
            <w:vAlign w:val="center"/>
          </w:tcPr>
          <w:p w14:paraId="6F0B2BC3">
            <w:pPr>
              <w:spacing w:after="40" w:line="240" w:lineRule="auto"/>
            </w:pPr>
            <w:r>
              <w:rPr>
                <w:rFonts w:ascii="Times New Roman" w:hAnsi="Times New Roman" w:eastAsia="Times New Roman"/>
                <w:b/>
                <w:sz w:val="20"/>
              </w:rPr>
              <w:t>Mức</w:t>
            </w:r>
          </w:p>
        </w:tc>
        <w:tc>
          <w:tcPr>
            <w:tcW w:w="4032" w:type="dxa"/>
            <w:shd w:val="clear" w:color="auto" w:fill="C6E0B4"/>
            <w:vAlign w:val="center"/>
          </w:tcPr>
          <w:p w14:paraId="363EB4E8">
            <w:pPr>
              <w:spacing w:after="40" w:line="240" w:lineRule="auto"/>
            </w:pPr>
            <w:r>
              <w:rPr>
                <w:rFonts w:ascii="Times New Roman" w:hAnsi="Times New Roman" w:eastAsia="Times New Roman"/>
                <w:b/>
                <w:sz w:val="20"/>
              </w:rPr>
              <w:t>Căn cứ ưu tiên</w:t>
            </w:r>
          </w:p>
        </w:tc>
      </w:tr>
      <w:tr w14:paraId="48D1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2EDE3473">
            <w:pPr>
              <w:spacing w:after="40" w:line="240" w:lineRule="auto"/>
            </w:pPr>
            <w:r>
              <w:rPr>
                <w:rFonts w:ascii="Times New Roman" w:hAnsi="Times New Roman" w:eastAsia="Times New Roman"/>
                <w:b w:val="0"/>
                <w:sz w:val="20"/>
              </w:rPr>
              <w:t>PB-01</w:t>
            </w:r>
          </w:p>
        </w:tc>
        <w:tc>
          <w:tcPr>
            <w:tcW w:w="4032" w:type="dxa"/>
            <w:vAlign w:val="center"/>
          </w:tcPr>
          <w:p w14:paraId="42AAEF76">
            <w:pPr>
              <w:spacing w:after="40" w:line="240" w:lineRule="auto"/>
            </w:pPr>
            <w:r>
              <w:rPr>
                <w:rFonts w:ascii="Times New Roman" w:hAnsi="Times New Roman" w:eastAsia="Times New Roman"/>
                <w:b w:val="0"/>
                <w:sz w:val="20"/>
              </w:rPr>
              <w:t>Tự động tính và cộng điểm khi đơn hàng thanh toán thành công: 10.000đ = 1 điểm.</w:t>
            </w:r>
          </w:p>
        </w:tc>
        <w:tc>
          <w:tcPr>
            <w:tcW w:w="1440" w:type="dxa"/>
            <w:vAlign w:val="center"/>
          </w:tcPr>
          <w:p w14:paraId="2911B06A">
            <w:pPr>
              <w:spacing w:after="40" w:line="240" w:lineRule="auto"/>
            </w:pPr>
            <w:r>
              <w:rPr>
                <w:rFonts w:ascii="Times New Roman" w:hAnsi="Times New Roman" w:eastAsia="Times New Roman"/>
                <w:b w:val="0"/>
                <w:sz w:val="20"/>
              </w:rPr>
              <w:t>Must have</w:t>
            </w:r>
          </w:p>
        </w:tc>
        <w:tc>
          <w:tcPr>
            <w:tcW w:w="4032" w:type="dxa"/>
            <w:vAlign w:val="center"/>
          </w:tcPr>
          <w:p w14:paraId="753A93E4">
            <w:pPr>
              <w:spacing w:after="40" w:line="240" w:lineRule="auto"/>
            </w:pPr>
            <w:r>
              <w:rPr>
                <w:rFonts w:ascii="Times New Roman" w:hAnsi="Times New Roman" w:eastAsia="Times New Roman"/>
                <w:b w:val="0"/>
                <w:sz w:val="20"/>
              </w:rPr>
              <w:t>Quy tắc cốt lõi của chương trình; là nguồn phát sinh điểm và nền tảng cho các chức năng khác.</w:t>
            </w:r>
          </w:p>
        </w:tc>
      </w:tr>
      <w:tr w14:paraId="7897B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6769263A">
            <w:pPr>
              <w:spacing w:after="40" w:line="240" w:lineRule="auto"/>
            </w:pPr>
            <w:r>
              <w:rPr>
                <w:rFonts w:ascii="Times New Roman" w:hAnsi="Times New Roman" w:eastAsia="Times New Roman"/>
                <w:b w:val="0"/>
                <w:sz w:val="20"/>
              </w:rPr>
              <w:t>PB-02</w:t>
            </w:r>
          </w:p>
        </w:tc>
        <w:tc>
          <w:tcPr>
            <w:tcW w:w="4032" w:type="dxa"/>
            <w:vAlign w:val="center"/>
          </w:tcPr>
          <w:p w14:paraId="6D0D061B">
            <w:pPr>
              <w:spacing w:after="40" w:line="240" w:lineRule="auto"/>
            </w:pPr>
            <w:r>
              <w:rPr>
                <w:rFonts w:ascii="Times New Roman" w:hAnsi="Times New Roman" w:eastAsia="Times New Roman"/>
                <w:b w:val="0"/>
                <w:sz w:val="20"/>
              </w:rPr>
              <w:t>Thu hồi điểm đã cộng khi đơn hàng bị hủy hoặc hoàn tiền; không cộng điểm cho đơn chưa thành công.</w:t>
            </w:r>
          </w:p>
        </w:tc>
        <w:tc>
          <w:tcPr>
            <w:tcW w:w="1440" w:type="dxa"/>
            <w:vAlign w:val="center"/>
          </w:tcPr>
          <w:p w14:paraId="1DB52E12">
            <w:pPr>
              <w:spacing w:after="40" w:line="240" w:lineRule="auto"/>
            </w:pPr>
            <w:r>
              <w:rPr>
                <w:rFonts w:ascii="Times New Roman" w:hAnsi="Times New Roman" w:eastAsia="Times New Roman"/>
                <w:b w:val="0"/>
                <w:sz w:val="20"/>
              </w:rPr>
              <w:t>Must have</w:t>
            </w:r>
          </w:p>
        </w:tc>
        <w:tc>
          <w:tcPr>
            <w:tcW w:w="4032" w:type="dxa"/>
            <w:vAlign w:val="center"/>
          </w:tcPr>
          <w:p w14:paraId="05A2693C">
            <w:pPr>
              <w:spacing w:after="40" w:line="240" w:lineRule="auto"/>
            </w:pPr>
            <w:r>
              <w:rPr>
                <w:rFonts w:ascii="Times New Roman" w:hAnsi="Times New Roman" w:eastAsia="Times New Roman"/>
                <w:b w:val="0"/>
                <w:sz w:val="20"/>
              </w:rPr>
              <w:t>Ngăn số dư sai lệch và đáp ứng yêu cầu kiểm soát giao dịch của Kế toán.</w:t>
            </w:r>
          </w:p>
        </w:tc>
      </w:tr>
      <w:tr w14:paraId="6DBC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1CAACAE7">
            <w:pPr>
              <w:spacing w:after="40" w:line="240" w:lineRule="auto"/>
            </w:pPr>
            <w:r>
              <w:rPr>
                <w:rFonts w:ascii="Times New Roman" w:hAnsi="Times New Roman" w:eastAsia="Times New Roman"/>
                <w:b w:val="0"/>
                <w:sz w:val="20"/>
              </w:rPr>
              <w:t>PB-03</w:t>
            </w:r>
          </w:p>
        </w:tc>
        <w:tc>
          <w:tcPr>
            <w:tcW w:w="4032" w:type="dxa"/>
            <w:vAlign w:val="center"/>
          </w:tcPr>
          <w:p w14:paraId="21D2FC9E">
            <w:pPr>
              <w:spacing w:after="40" w:line="240" w:lineRule="auto"/>
            </w:pPr>
            <w:r>
              <w:rPr>
                <w:rFonts w:ascii="Times New Roman" w:hAnsi="Times New Roman" w:eastAsia="Times New Roman"/>
                <w:b w:val="0"/>
                <w:sz w:val="20"/>
              </w:rPr>
              <w:t>Đổi điểm lấy giá trị giảm giá theo tỷ lệ 100 điểm = 20.000đ; kiểm tra số dư trước khi đổi.</w:t>
            </w:r>
          </w:p>
        </w:tc>
        <w:tc>
          <w:tcPr>
            <w:tcW w:w="1440" w:type="dxa"/>
            <w:vAlign w:val="center"/>
          </w:tcPr>
          <w:p w14:paraId="58571B36">
            <w:pPr>
              <w:spacing w:after="40" w:line="240" w:lineRule="auto"/>
            </w:pPr>
            <w:r>
              <w:rPr>
                <w:rFonts w:ascii="Times New Roman" w:hAnsi="Times New Roman" w:eastAsia="Times New Roman"/>
                <w:b w:val="0"/>
                <w:sz w:val="20"/>
              </w:rPr>
              <w:t>Must have</w:t>
            </w:r>
          </w:p>
        </w:tc>
        <w:tc>
          <w:tcPr>
            <w:tcW w:w="4032" w:type="dxa"/>
            <w:vAlign w:val="center"/>
          </w:tcPr>
          <w:p w14:paraId="71546437">
            <w:pPr>
              <w:spacing w:after="40" w:line="240" w:lineRule="auto"/>
            </w:pPr>
            <w:r>
              <w:rPr>
                <w:rFonts w:ascii="Times New Roman" w:hAnsi="Times New Roman" w:eastAsia="Times New Roman"/>
                <w:b w:val="0"/>
                <w:sz w:val="20"/>
              </w:rPr>
              <w:t>Đáp ứng trực tiếp cam kết đổi điểm; phải ngăn đổi vượt số dư.</w:t>
            </w:r>
          </w:p>
        </w:tc>
      </w:tr>
      <w:tr w14:paraId="1C78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5B601BE5">
            <w:pPr>
              <w:spacing w:after="40" w:line="240" w:lineRule="auto"/>
            </w:pPr>
            <w:r>
              <w:rPr>
                <w:rFonts w:ascii="Times New Roman" w:hAnsi="Times New Roman" w:eastAsia="Times New Roman"/>
                <w:b w:val="0"/>
                <w:sz w:val="20"/>
              </w:rPr>
              <w:t>PB-04</w:t>
            </w:r>
          </w:p>
        </w:tc>
        <w:tc>
          <w:tcPr>
            <w:tcW w:w="4032" w:type="dxa"/>
            <w:vAlign w:val="center"/>
          </w:tcPr>
          <w:p w14:paraId="08FEDCBE">
            <w:pPr>
              <w:spacing w:after="40" w:line="240" w:lineRule="auto"/>
            </w:pPr>
            <w:r>
              <w:rPr>
                <w:rFonts w:ascii="Times New Roman" w:hAnsi="Times New Roman" w:eastAsia="Times New Roman"/>
                <w:b w:val="0"/>
                <w:sz w:val="20"/>
              </w:rPr>
              <w:t>Hiển thị số dư điểm và ngày hết hạn; điểm có hiệu lực 12 tháng và tự động trừ khi hết hạn.</w:t>
            </w:r>
          </w:p>
        </w:tc>
        <w:tc>
          <w:tcPr>
            <w:tcW w:w="1440" w:type="dxa"/>
            <w:vAlign w:val="center"/>
          </w:tcPr>
          <w:p w14:paraId="7B44F8B2">
            <w:pPr>
              <w:spacing w:after="40" w:line="240" w:lineRule="auto"/>
            </w:pPr>
            <w:r>
              <w:rPr>
                <w:rFonts w:ascii="Times New Roman" w:hAnsi="Times New Roman" w:eastAsia="Times New Roman"/>
                <w:b w:val="0"/>
                <w:sz w:val="20"/>
              </w:rPr>
              <w:t>Must have</w:t>
            </w:r>
          </w:p>
        </w:tc>
        <w:tc>
          <w:tcPr>
            <w:tcW w:w="4032" w:type="dxa"/>
            <w:vAlign w:val="center"/>
          </w:tcPr>
          <w:p w14:paraId="7ED300A8">
            <w:pPr>
              <w:spacing w:after="40" w:line="240" w:lineRule="auto"/>
            </w:pPr>
            <w:r>
              <w:rPr>
                <w:rFonts w:ascii="Times New Roman" w:hAnsi="Times New Roman" w:eastAsia="Times New Roman"/>
                <w:b w:val="0"/>
                <w:sz w:val="20"/>
              </w:rPr>
              <w:t>Minh bạch quyền lợi và thực thi quy tắc thời hạn điểm.</w:t>
            </w:r>
          </w:p>
        </w:tc>
      </w:tr>
      <w:tr w14:paraId="6390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6C96E617">
            <w:pPr>
              <w:spacing w:after="40" w:line="240" w:lineRule="auto"/>
            </w:pPr>
            <w:r>
              <w:rPr>
                <w:rFonts w:ascii="Times New Roman" w:hAnsi="Times New Roman" w:eastAsia="Times New Roman"/>
                <w:b w:val="0"/>
                <w:sz w:val="20"/>
              </w:rPr>
              <w:t>PB-05</w:t>
            </w:r>
          </w:p>
        </w:tc>
        <w:tc>
          <w:tcPr>
            <w:tcW w:w="4032" w:type="dxa"/>
            <w:vAlign w:val="center"/>
          </w:tcPr>
          <w:p w14:paraId="77CB087F">
            <w:pPr>
              <w:spacing w:after="40" w:line="240" w:lineRule="auto"/>
            </w:pPr>
            <w:r>
              <w:rPr>
                <w:rFonts w:ascii="Times New Roman" w:hAnsi="Times New Roman" w:eastAsia="Times New Roman"/>
                <w:b w:val="0"/>
                <w:sz w:val="20"/>
              </w:rPr>
              <w:t>Xem lịch sử tích điểm, đổi điểm, thu hồi và hết hạn kèm mã giao dịch/thời điểm.</w:t>
            </w:r>
          </w:p>
        </w:tc>
        <w:tc>
          <w:tcPr>
            <w:tcW w:w="1440" w:type="dxa"/>
            <w:vAlign w:val="center"/>
          </w:tcPr>
          <w:p w14:paraId="56D95FE3">
            <w:pPr>
              <w:spacing w:after="40" w:line="240" w:lineRule="auto"/>
            </w:pPr>
            <w:r>
              <w:rPr>
                <w:rFonts w:ascii="Times New Roman" w:hAnsi="Times New Roman" w:eastAsia="Times New Roman"/>
                <w:b w:val="0"/>
                <w:sz w:val="20"/>
              </w:rPr>
              <w:t>Should have</w:t>
            </w:r>
          </w:p>
        </w:tc>
        <w:tc>
          <w:tcPr>
            <w:tcW w:w="4032" w:type="dxa"/>
            <w:vAlign w:val="center"/>
          </w:tcPr>
          <w:p w14:paraId="0A03B2A8">
            <w:pPr>
              <w:spacing w:after="40" w:line="240" w:lineRule="auto"/>
            </w:pPr>
            <w:r>
              <w:rPr>
                <w:rFonts w:ascii="Times New Roman" w:hAnsi="Times New Roman" w:eastAsia="Times New Roman"/>
                <w:b w:val="0"/>
                <w:sz w:val="20"/>
              </w:rPr>
              <w:t>Tăng khả năng đối soát và giải thích biến động số dư; có thể triển khai sau các phép tính cốt lõi.</w:t>
            </w:r>
          </w:p>
        </w:tc>
      </w:tr>
      <w:tr w14:paraId="79BB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7C90BDA7">
            <w:pPr>
              <w:spacing w:after="40" w:line="240" w:lineRule="auto"/>
            </w:pPr>
            <w:r>
              <w:rPr>
                <w:rFonts w:ascii="Times New Roman" w:hAnsi="Times New Roman" w:eastAsia="Times New Roman"/>
                <w:b w:val="0"/>
                <w:sz w:val="20"/>
              </w:rPr>
              <w:t>PB-06</w:t>
            </w:r>
          </w:p>
        </w:tc>
        <w:tc>
          <w:tcPr>
            <w:tcW w:w="4032" w:type="dxa"/>
            <w:vAlign w:val="center"/>
          </w:tcPr>
          <w:p w14:paraId="5B4B2AEE">
            <w:pPr>
              <w:spacing w:after="40" w:line="240" w:lineRule="auto"/>
            </w:pPr>
            <w:r>
              <w:rPr>
                <w:rFonts w:ascii="Times New Roman" w:hAnsi="Times New Roman" w:eastAsia="Times New Roman"/>
                <w:b w:val="0"/>
                <w:sz w:val="20"/>
              </w:rPr>
              <w:t>Thông báo cho khách hàng khi điểm sắp hết hạn.</w:t>
            </w:r>
          </w:p>
        </w:tc>
        <w:tc>
          <w:tcPr>
            <w:tcW w:w="1440" w:type="dxa"/>
            <w:vAlign w:val="center"/>
          </w:tcPr>
          <w:p w14:paraId="77A8FFEF">
            <w:pPr>
              <w:spacing w:after="40" w:line="240" w:lineRule="auto"/>
            </w:pPr>
            <w:r>
              <w:rPr>
                <w:rFonts w:ascii="Times New Roman" w:hAnsi="Times New Roman" w:eastAsia="Times New Roman"/>
                <w:b w:val="0"/>
                <w:sz w:val="20"/>
              </w:rPr>
              <w:t>Should have</w:t>
            </w:r>
          </w:p>
        </w:tc>
        <w:tc>
          <w:tcPr>
            <w:tcW w:w="4032" w:type="dxa"/>
            <w:vAlign w:val="center"/>
          </w:tcPr>
          <w:p w14:paraId="4F2BD21B">
            <w:pPr>
              <w:spacing w:after="40" w:line="240" w:lineRule="auto"/>
            </w:pPr>
            <w:r>
              <w:rPr>
                <w:rFonts w:ascii="Times New Roman" w:hAnsi="Times New Roman" w:eastAsia="Times New Roman"/>
                <w:b w:val="0"/>
                <w:sz w:val="20"/>
              </w:rPr>
              <w:t>Cải thiện trải nghiệm và khuyến khích quay lại; không phải điều kiện để tính/đổi điểm chính xác.</w:t>
            </w:r>
          </w:p>
        </w:tc>
      </w:tr>
      <w:tr w14:paraId="72E5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51C39DF5">
            <w:pPr>
              <w:spacing w:after="40" w:line="240" w:lineRule="auto"/>
            </w:pPr>
            <w:r>
              <w:rPr>
                <w:rFonts w:ascii="Times New Roman" w:hAnsi="Times New Roman" w:eastAsia="Times New Roman"/>
                <w:b w:val="0"/>
                <w:sz w:val="20"/>
              </w:rPr>
              <w:t>PB-07</w:t>
            </w:r>
          </w:p>
        </w:tc>
        <w:tc>
          <w:tcPr>
            <w:tcW w:w="4032" w:type="dxa"/>
            <w:vAlign w:val="center"/>
          </w:tcPr>
          <w:p w14:paraId="65CE978C">
            <w:pPr>
              <w:spacing w:after="40" w:line="240" w:lineRule="auto"/>
            </w:pPr>
            <w:r>
              <w:rPr>
                <w:rFonts w:ascii="Times New Roman" w:hAnsi="Times New Roman" w:eastAsia="Times New Roman"/>
                <w:b w:val="0"/>
                <w:sz w:val="20"/>
              </w:rPr>
              <w:t>Trang tổng hợp chiến dịch và phân tích nhóm khách hàng theo hành vi tích/đổi điểm.</w:t>
            </w:r>
          </w:p>
        </w:tc>
        <w:tc>
          <w:tcPr>
            <w:tcW w:w="1440" w:type="dxa"/>
            <w:vAlign w:val="center"/>
          </w:tcPr>
          <w:p w14:paraId="31CC287D">
            <w:pPr>
              <w:spacing w:after="40" w:line="240" w:lineRule="auto"/>
            </w:pPr>
            <w:r>
              <w:rPr>
                <w:rFonts w:ascii="Times New Roman" w:hAnsi="Times New Roman" w:eastAsia="Times New Roman"/>
                <w:b w:val="0"/>
                <w:sz w:val="20"/>
              </w:rPr>
              <w:t>Could have</w:t>
            </w:r>
          </w:p>
        </w:tc>
        <w:tc>
          <w:tcPr>
            <w:tcW w:w="4032" w:type="dxa"/>
            <w:vAlign w:val="center"/>
          </w:tcPr>
          <w:p w14:paraId="1D4536ED">
            <w:pPr>
              <w:spacing w:after="40" w:line="240" w:lineRule="auto"/>
            </w:pPr>
            <w:r>
              <w:rPr>
                <w:rFonts w:ascii="Times New Roman" w:hAnsi="Times New Roman" w:eastAsia="Times New Roman"/>
                <w:b w:val="0"/>
                <w:sz w:val="20"/>
              </w:rPr>
              <w:t>Hữu ích cho Marketing nhưng không cần thiết để ra mắt chức năng Loyalty cơ bản trong 8 tuần.</w:t>
            </w:r>
          </w:p>
        </w:tc>
      </w:tr>
      <w:tr w14:paraId="4CC1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37DFA1AD">
            <w:pPr>
              <w:spacing w:after="40" w:line="240" w:lineRule="auto"/>
            </w:pPr>
            <w:r>
              <w:rPr>
                <w:rFonts w:ascii="Times New Roman" w:hAnsi="Times New Roman" w:eastAsia="Times New Roman"/>
                <w:b w:val="0"/>
                <w:sz w:val="20"/>
              </w:rPr>
              <w:t>PB-08</w:t>
            </w:r>
          </w:p>
        </w:tc>
        <w:tc>
          <w:tcPr>
            <w:tcW w:w="4032" w:type="dxa"/>
            <w:vAlign w:val="center"/>
          </w:tcPr>
          <w:p w14:paraId="1B47B571">
            <w:pPr>
              <w:spacing w:after="40" w:line="240" w:lineRule="auto"/>
            </w:pPr>
            <w:r>
              <w:rPr>
                <w:rFonts w:ascii="Times New Roman" w:hAnsi="Times New Roman" w:eastAsia="Times New Roman"/>
                <w:b w:val="0"/>
                <w:sz w:val="20"/>
              </w:rPr>
              <w:t>Cho phép áp dụng đồng thời nhiều ưu đãi theo cấu hình chiến dịch.</w:t>
            </w:r>
          </w:p>
        </w:tc>
        <w:tc>
          <w:tcPr>
            <w:tcW w:w="1440" w:type="dxa"/>
            <w:vAlign w:val="center"/>
          </w:tcPr>
          <w:p w14:paraId="3A1BBC68">
            <w:pPr>
              <w:spacing w:after="40" w:line="240" w:lineRule="auto"/>
            </w:pPr>
            <w:r>
              <w:rPr>
                <w:rFonts w:ascii="Times New Roman" w:hAnsi="Times New Roman" w:eastAsia="Times New Roman"/>
                <w:b w:val="0"/>
                <w:sz w:val="20"/>
              </w:rPr>
              <w:t>Won’t have this time</w:t>
            </w:r>
          </w:p>
        </w:tc>
        <w:tc>
          <w:tcPr>
            <w:tcW w:w="4032" w:type="dxa"/>
            <w:vAlign w:val="center"/>
          </w:tcPr>
          <w:p w14:paraId="4895AF6E">
            <w:pPr>
              <w:spacing w:after="40" w:line="240" w:lineRule="auto"/>
            </w:pPr>
            <w:r>
              <w:rPr>
                <w:rFonts w:ascii="Times New Roman" w:hAnsi="Times New Roman" w:eastAsia="Times New Roman"/>
                <w:b w:val="0"/>
                <w:sz w:val="20"/>
              </w:rPr>
              <w:t>Quy tắc hiện tại là không cộng dồn trừ khi hệ thống xác nhận; tính năng này làm tăng độ phức tạp và chưa cần cho đợt đầu.</w:t>
            </w:r>
          </w:p>
        </w:tc>
      </w:tr>
    </w:tbl>
    <w:p w14:paraId="01DD22AE"/>
    <w:p w14:paraId="1C3A0E61">
      <w:pPr>
        <w:pStyle w:val="3"/>
      </w:pPr>
      <w:r>
        <w:t>2. Danh sách đưa vào Sprint 1</w:t>
      </w:r>
    </w:p>
    <w:p w14:paraId="3B08CDC1">
      <w:r>
        <w:t>Sprint 1 kéo dài 2 tuần. Theo ràng buộc nguồn lực, đội hoàn thành toàn bộ nhóm Must have và tối đa 2 hạng mục Should have. Danh sách dự kiến đưa vào Sprint 1 gồm PB-01, PB-02, PB-03, PB-04, PB-05 và PB-06. PB-05 và PB-06 là đúng 2 hạng mục Should have được chọn; PB-07 và PB-08 chưa đưa vào Sprint 1. Đội cần xác nhận năng lực thực tế trong Sprint Planning; nếu ước lượng cho thấy không thể đạt mục tiêu Sprint, PO và đội thương lượng phạm vi Should have trước khi bắt đầu, không cắt giảm chất lượng.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936"/>
        <w:gridCol w:w="4464"/>
        <w:gridCol w:w="3888"/>
      </w:tblGrid>
      <w:tr w14:paraId="171D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C6E0B4"/>
            <w:vAlign w:val="center"/>
          </w:tcPr>
          <w:p w14:paraId="50328D8C">
            <w:pPr>
              <w:spacing w:after="40" w:line="240" w:lineRule="auto"/>
            </w:pPr>
            <w:r>
              <w:rPr>
                <w:rFonts w:ascii="Times New Roman" w:hAnsi="Times New Roman" w:eastAsia="Times New Roman"/>
                <w:b/>
                <w:sz w:val="20"/>
              </w:rPr>
              <w:t>Thứ tự</w:t>
            </w:r>
          </w:p>
        </w:tc>
        <w:tc>
          <w:tcPr>
            <w:tcW w:w="936" w:type="dxa"/>
            <w:shd w:val="clear" w:color="auto" w:fill="C6E0B4"/>
            <w:vAlign w:val="center"/>
          </w:tcPr>
          <w:p w14:paraId="2584D28F">
            <w:pPr>
              <w:spacing w:after="40" w:line="240" w:lineRule="auto"/>
            </w:pPr>
            <w:r>
              <w:rPr>
                <w:rFonts w:ascii="Times New Roman" w:hAnsi="Times New Roman" w:eastAsia="Times New Roman"/>
                <w:b/>
                <w:sz w:val="20"/>
              </w:rPr>
              <w:t>ID</w:t>
            </w:r>
          </w:p>
        </w:tc>
        <w:tc>
          <w:tcPr>
            <w:tcW w:w="4464" w:type="dxa"/>
            <w:shd w:val="clear" w:color="auto" w:fill="C6E0B4"/>
            <w:vAlign w:val="center"/>
          </w:tcPr>
          <w:p w14:paraId="18AD8851">
            <w:pPr>
              <w:spacing w:after="40" w:line="240" w:lineRule="auto"/>
            </w:pPr>
            <w:r>
              <w:rPr>
                <w:rFonts w:ascii="Times New Roman" w:hAnsi="Times New Roman" w:eastAsia="Times New Roman"/>
                <w:b/>
                <w:sz w:val="20"/>
              </w:rPr>
              <w:t>Hạng mục Sprint 1</w:t>
            </w:r>
          </w:p>
        </w:tc>
        <w:tc>
          <w:tcPr>
            <w:tcW w:w="3888" w:type="dxa"/>
            <w:shd w:val="clear" w:color="auto" w:fill="C6E0B4"/>
            <w:vAlign w:val="center"/>
          </w:tcPr>
          <w:p w14:paraId="5BB25C04">
            <w:pPr>
              <w:spacing w:after="40" w:line="240" w:lineRule="auto"/>
            </w:pPr>
            <w:r>
              <w:rPr>
                <w:rFonts w:ascii="Times New Roman" w:hAnsi="Times New Roman" w:eastAsia="Times New Roman"/>
                <w:b/>
                <w:sz w:val="20"/>
              </w:rPr>
              <w:t>Lý do</w:t>
            </w:r>
          </w:p>
        </w:tc>
      </w:tr>
      <w:tr w14:paraId="2E46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C0A4467">
            <w:pPr>
              <w:spacing w:after="40" w:line="240" w:lineRule="auto"/>
            </w:pPr>
            <w:r>
              <w:rPr>
                <w:rFonts w:ascii="Times New Roman" w:hAnsi="Times New Roman" w:eastAsia="Times New Roman"/>
                <w:b w:val="0"/>
                <w:sz w:val="20"/>
              </w:rPr>
              <w:t>1</w:t>
            </w:r>
          </w:p>
        </w:tc>
        <w:tc>
          <w:tcPr>
            <w:tcW w:w="936" w:type="dxa"/>
            <w:vAlign w:val="center"/>
          </w:tcPr>
          <w:p w14:paraId="60356B99">
            <w:pPr>
              <w:spacing w:after="40" w:line="240" w:lineRule="auto"/>
            </w:pPr>
            <w:r>
              <w:rPr>
                <w:rFonts w:ascii="Times New Roman" w:hAnsi="Times New Roman" w:eastAsia="Times New Roman"/>
                <w:b w:val="0"/>
                <w:sz w:val="20"/>
              </w:rPr>
              <w:t>PB-01</w:t>
            </w:r>
          </w:p>
        </w:tc>
        <w:tc>
          <w:tcPr>
            <w:tcW w:w="4464" w:type="dxa"/>
            <w:vAlign w:val="center"/>
          </w:tcPr>
          <w:p w14:paraId="4AB34D82">
            <w:pPr>
              <w:spacing w:after="40" w:line="240" w:lineRule="auto"/>
            </w:pPr>
            <w:r>
              <w:rPr>
                <w:rFonts w:ascii="Times New Roman" w:hAnsi="Times New Roman" w:eastAsia="Times New Roman"/>
                <w:b w:val="0"/>
                <w:sz w:val="20"/>
              </w:rPr>
              <w:t>Tính điểm cho đơn thanh toán thành công</w:t>
            </w:r>
          </w:p>
        </w:tc>
        <w:tc>
          <w:tcPr>
            <w:tcW w:w="3888" w:type="dxa"/>
            <w:vAlign w:val="center"/>
          </w:tcPr>
          <w:p w14:paraId="3CC077C6">
            <w:pPr>
              <w:spacing w:after="40" w:line="240" w:lineRule="auto"/>
            </w:pPr>
            <w:r>
              <w:rPr>
                <w:rFonts w:ascii="Times New Roman" w:hAnsi="Times New Roman" w:eastAsia="Times New Roman"/>
                <w:b w:val="0"/>
                <w:sz w:val="20"/>
              </w:rPr>
              <w:t>Nền tảng của hệ thống điểm.</w:t>
            </w:r>
          </w:p>
        </w:tc>
      </w:tr>
      <w:tr w14:paraId="65105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483C7ED">
            <w:pPr>
              <w:spacing w:after="40" w:line="240" w:lineRule="auto"/>
            </w:pPr>
            <w:r>
              <w:rPr>
                <w:rFonts w:ascii="Times New Roman" w:hAnsi="Times New Roman" w:eastAsia="Times New Roman"/>
                <w:b w:val="0"/>
                <w:sz w:val="20"/>
              </w:rPr>
              <w:t>2</w:t>
            </w:r>
          </w:p>
        </w:tc>
        <w:tc>
          <w:tcPr>
            <w:tcW w:w="936" w:type="dxa"/>
            <w:vAlign w:val="center"/>
          </w:tcPr>
          <w:p w14:paraId="3CA8E07C">
            <w:pPr>
              <w:spacing w:after="40" w:line="240" w:lineRule="auto"/>
            </w:pPr>
            <w:r>
              <w:rPr>
                <w:rFonts w:ascii="Times New Roman" w:hAnsi="Times New Roman" w:eastAsia="Times New Roman"/>
                <w:b w:val="0"/>
                <w:sz w:val="20"/>
              </w:rPr>
              <w:t>PB-02</w:t>
            </w:r>
          </w:p>
        </w:tc>
        <w:tc>
          <w:tcPr>
            <w:tcW w:w="4464" w:type="dxa"/>
            <w:vAlign w:val="center"/>
          </w:tcPr>
          <w:p w14:paraId="4B7D34D4">
            <w:pPr>
              <w:spacing w:after="40" w:line="240" w:lineRule="auto"/>
            </w:pPr>
            <w:r>
              <w:rPr>
                <w:rFonts w:ascii="Times New Roman" w:hAnsi="Times New Roman" w:eastAsia="Times New Roman"/>
                <w:b w:val="0"/>
                <w:sz w:val="20"/>
              </w:rPr>
              <w:t>Thu hồi điểm khi hủy/hoàn</w:t>
            </w:r>
          </w:p>
        </w:tc>
        <w:tc>
          <w:tcPr>
            <w:tcW w:w="3888" w:type="dxa"/>
            <w:vAlign w:val="center"/>
          </w:tcPr>
          <w:p w14:paraId="0834BDA7">
            <w:pPr>
              <w:spacing w:after="40" w:line="240" w:lineRule="auto"/>
            </w:pPr>
            <w:r>
              <w:rPr>
                <w:rFonts w:ascii="Times New Roman" w:hAnsi="Times New Roman" w:eastAsia="Times New Roman"/>
                <w:b w:val="0"/>
                <w:sz w:val="20"/>
              </w:rPr>
              <w:t>Bảo đảm số dư chính xác.</w:t>
            </w:r>
          </w:p>
        </w:tc>
      </w:tr>
      <w:tr w14:paraId="069E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70D5D0B">
            <w:pPr>
              <w:spacing w:after="40" w:line="240" w:lineRule="auto"/>
            </w:pPr>
            <w:r>
              <w:rPr>
                <w:rFonts w:ascii="Times New Roman" w:hAnsi="Times New Roman" w:eastAsia="Times New Roman"/>
                <w:b w:val="0"/>
                <w:sz w:val="20"/>
              </w:rPr>
              <w:t>3</w:t>
            </w:r>
          </w:p>
        </w:tc>
        <w:tc>
          <w:tcPr>
            <w:tcW w:w="936" w:type="dxa"/>
            <w:vAlign w:val="center"/>
          </w:tcPr>
          <w:p w14:paraId="65E635B6">
            <w:pPr>
              <w:spacing w:after="40" w:line="240" w:lineRule="auto"/>
            </w:pPr>
            <w:r>
              <w:rPr>
                <w:rFonts w:ascii="Times New Roman" w:hAnsi="Times New Roman" w:eastAsia="Times New Roman"/>
                <w:b w:val="0"/>
                <w:sz w:val="20"/>
              </w:rPr>
              <w:t>PB-03</w:t>
            </w:r>
          </w:p>
        </w:tc>
        <w:tc>
          <w:tcPr>
            <w:tcW w:w="4464" w:type="dxa"/>
            <w:vAlign w:val="center"/>
          </w:tcPr>
          <w:p w14:paraId="3CF16963">
            <w:pPr>
              <w:spacing w:after="40" w:line="240" w:lineRule="auto"/>
            </w:pPr>
            <w:r>
              <w:rPr>
                <w:rFonts w:ascii="Times New Roman" w:hAnsi="Times New Roman" w:eastAsia="Times New Roman"/>
                <w:b w:val="0"/>
                <w:sz w:val="20"/>
              </w:rPr>
              <w:t>Đổi điểm lấy giá trị giảm giá</w:t>
            </w:r>
          </w:p>
        </w:tc>
        <w:tc>
          <w:tcPr>
            <w:tcW w:w="3888" w:type="dxa"/>
            <w:vAlign w:val="center"/>
          </w:tcPr>
          <w:p w14:paraId="43E9E591">
            <w:pPr>
              <w:spacing w:after="40" w:line="240" w:lineRule="auto"/>
            </w:pPr>
            <w:r>
              <w:rPr>
                <w:rFonts w:ascii="Times New Roman" w:hAnsi="Times New Roman" w:eastAsia="Times New Roman"/>
                <w:b w:val="0"/>
                <w:sz w:val="20"/>
              </w:rPr>
              <w:t>Hoàn thiện luồng sử dụng điểm.</w:t>
            </w:r>
          </w:p>
        </w:tc>
      </w:tr>
      <w:tr w14:paraId="77E16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090EE9D">
            <w:pPr>
              <w:spacing w:after="40" w:line="240" w:lineRule="auto"/>
            </w:pPr>
            <w:r>
              <w:rPr>
                <w:rFonts w:ascii="Times New Roman" w:hAnsi="Times New Roman" w:eastAsia="Times New Roman"/>
                <w:b w:val="0"/>
                <w:sz w:val="20"/>
              </w:rPr>
              <w:t>4</w:t>
            </w:r>
          </w:p>
        </w:tc>
        <w:tc>
          <w:tcPr>
            <w:tcW w:w="936" w:type="dxa"/>
            <w:vAlign w:val="center"/>
          </w:tcPr>
          <w:p w14:paraId="0B25A99A">
            <w:pPr>
              <w:spacing w:after="40" w:line="240" w:lineRule="auto"/>
            </w:pPr>
            <w:r>
              <w:rPr>
                <w:rFonts w:ascii="Times New Roman" w:hAnsi="Times New Roman" w:eastAsia="Times New Roman"/>
                <w:b w:val="0"/>
                <w:sz w:val="20"/>
              </w:rPr>
              <w:t>PB-04</w:t>
            </w:r>
          </w:p>
        </w:tc>
        <w:tc>
          <w:tcPr>
            <w:tcW w:w="4464" w:type="dxa"/>
            <w:vAlign w:val="center"/>
          </w:tcPr>
          <w:p w14:paraId="3E902E48">
            <w:pPr>
              <w:spacing w:after="40" w:line="240" w:lineRule="auto"/>
            </w:pPr>
            <w:r>
              <w:rPr>
                <w:rFonts w:ascii="Times New Roman" w:hAnsi="Times New Roman" w:eastAsia="Times New Roman"/>
                <w:b w:val="0"/>
                <w:sz w:val="20"/>
              </w:rPr>
              <w:t>Số dư, hạn sử dụng và tự động trừ điểm hết hạn</w:t>
            </w:r>
          </w:p>
        </w:tc>
        <w:tc>
          <w:tcPr>
            <w:tcW w:w="3888" w:type="dxa"/>
            <w:vAlign w:val="center"/>
          </w:tcPr>
          <w:p w14:paraId="2CE74187">
            <w:pPr>
              <w:spacing w:after="40" w:line="240" w:lineRule="auto"/>
            </w:pPr>
            <w:r>
              <w:rPr>
                <w:rFonts w:ascii="Times New Roman" w:hAnsi="Times New Roman" w:eastAsia="Times New Roman"/>
                <w:b w:val="0"/>
                <w:sz w:val="20"/>
              </w:rPr>
              <w:t>Minh bạch số dư và quy tắc 12 tháng.</w:t>
            </w:r>
          </w:p>
        </w:tc>
      </w:tr>
      <w:tr w14:paraId="2F11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EE09CE1">
            <w:pPr>
              <w:spacing w:after="40" w:line="240" w:lineRule="auto"/>
            </w:pPr>
            <w:r>
              <w:rPr>
                <w:rFonts w:ascii="Times New Roman" w:hAnsi="Times New Roman" w:eastAsia="Times New Roman"/>
                <w:b w:val="0"/>
                <w:sz w:val="20"/>
              </w:rPr>
              <w:t>5</w:t>
            </w:r>
          </w:p>
        </w:tc>
        <w:tc>
          <w:tcPr>
            <w:tcW w:w="936" w:type="dxa"/>
            <w:vAlign w:val="center"/>
          </w:tcPr>
          <w:p w14:paraId="1703E695">
            <w:pPr>
              <w:spacing w:after="40" w:line="240" w:lineRule="auto"/>
            </w:pPr>
            <w:r>
              <w:rPr>
                <w:rFonts w:ascii="Times New Roman" w:hAnsi="Times New Roman" w:eastAsia="Times New Roman"/>
                <w:b w:val="0"/>
                <w:sz w:val="20"/>
              </w:rPr>
              <w:t>PB-05</w:t>
            </w:r>
          </w:p>
        </w:tc>
        <w:tc>
          <w:tcPr>
            <w:tcW w:w="4464" w:type="dxa"/>
            <w:vAlign w:val="center"/>
          </w:tcPr>
          <w:p w14:paraId="460F7D7F">
            <w:pPr>
              <w:spacing w:after="40" w:line="240" w:lineRule="auto"/>
            </w:pPr>
            <w:r>
              <w:rPr>
                <w:rFonts w:ascii="Times New Roman" w:hAnsi="Times New Roman" w:eastAsia="Times New Roman"/>
                <w:b w:val="0"/>
                <w:sz w:val="20"/>
              </w:rPr>
              <w:t>Lịch sử giao dịch điểm</w:t>
            </w:r>
          </w:p>
        </w:tc>
        <w:tc>
          <w:tcPr>
            <w:tcW w:w="3888" w:type="dxa"/>
            <w:vAlign w:val="center"/>
          </w:tcPr>
          <w:p w14:paraId="2449F60D">
            <w:pPr>
              <w:spacing w:after="40" w:line="240" w:lineRule="auto"/>
            </w:pPr>
            <w:r>
              <w:rPr>
                <w:rFonts w:ascii="Times New Roman" w:hAnsi="Times New Roman" w:eastAsia="Times New Roman"/>
                <w:b w:val="0"/>
                <w:sz w:val="20"/>
              </w:rPr>
              <w:t>Should have thứ nhất; hỗ trợ đối soát.</w:t>
            </w:r>
          </w:p>
        </w:tc>
      </w:tr>
      <w:tr w14:paraId="4600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9972C54">
            <w:pPr>
              <w:spacing w:after="40" w:line="240" w:lineRule="auto"/>
            </w:pPr>
            <w:r>
              <w:rPr>
                <w:rFonts w:ascii="Times New Roman" w:hAnsi="Times New Roman" w:eastAsia="Times New Roman"/>
                <w:b w:val="0"/>
                <w:sz w:val="20"/>
              </w:rPr>
              <w:t>6</w:t>
            </w:r>
          </w:p>
        </w:tc>
        <w:tc>
          <w:tcPr>
            <w:tcW w:w="936" w:type="dxa"/>
            <w:vAlign w:val="center"/>
          </w:tcPr>
          <w:p w14:paraId="541C16C6">
            <w:pPr>
              <w:spacing w:after="40" w:line="240" w:lineRule="auto"/>
            </w:pPr>
            <w:r>
              <w:rPr>
                <w:rFonts w:ascii="Times New Roman" w:hAnsi="Times New Roman" w:eastAsia="Times New Roman"/>
                <w:b w:val="0"/>
                <w:sz w:val="20"/>
              </w:rPr>
              <w:t>PB-06</w:t>
            </w:r>
          </w:p>
        </w:tc>
        <w:tc>
          <w:tcPr>
            <w:tcW w:w="4464" w:type="dxa"/>
            <w:vAlign w:val="center"/>
          </w:tcPr>
          <w:p w14:paraId="75C1AB0B">
            <w:pPr>
              <w:spacing w:after="40" w:line="240" w:lineRule="auto"/>
            </w:pPr>
            <w:r>
              <w:rPr>
                <w:rFonts w:ascii="Times New Roman" w:hAnsi="Times New Roman" w:eastAsia="Times New Roman"/>
                <w:b w:val="0"/>
                <w:sz w:val="20"/>
              </w:rPr>
              <w:t>Thông báo điểm sắp hết hạn</w:t>
            </w:r>
          </w:p>
        </w:tc>
        <w:tc>
          <w:tcPr>
            <w:tcW w:w="3888" w:type="dxa"/>
            <w:vAlign w:val="center"/>
          </w:tcPr>
          <w:p w14:paraId="3AFE63CF">
            <w:pPr>
              <w:spacing w:after="40" w:line="240" w:lineRule="auto"/>
            </w:pPr>
            <w:r>
              <w:rPr>
                <w:rFonts w:ascii="Times New Roman" w:hAnsi="Times New Roman" w:eastAsia="Times New Roman"/>
                <w:b w:val="0"/>
                <w:sz w:val="20"/>
              </w:rPr>
              <w:t>Should have thứ hai; cải thiện trải nghiệm.</w:t>
            </w:r>
          </w:p>
        </w:tc>
      </w:tr>
    </w:tbl>
    <w:p w14:paraId="332B93F6"/>
    <w:p w14:paraId="69808420">
      <w:pPr>
        <w:pStyle w:val="2"/>
      </w:pPr>
      <w:r>
        <w:t>PHẦN C — ACCEPTANCE CRITERIA VÀ DEFINITION OF DONE</w:t>
      </w:r>
    </w:p>
    <w:p w14:paraId="24A5CBEB">
      <w:pPr>
        <w:pStyle w:val="3"/>
      </w:pPr>
      <w:r>
        <w:t>1. Hạng mục được chọn</w:t>
      </w:r>
    </w:p>
    <w:p w14:paraId="5E87ADA1">
      <w:r>
        <w:t>PB-01 — Tự động tính và cộng điểm khi đơn hàng thanh toán thành công theo tỷ lệ 10.000đ = 1 điểm. Đây là hạng mục Must have có mức ưu tiên cao nhất vì mọi chức năng sử dụng điểm đều phụ thuộc vào dữ liệu điểm được tạo chính xác.</w:t>
      </w:r>
    </w:p>
    <w:p w14:paraId="639CEAC2">
      <w:pPr>
        <w:pStyle w:val="3"/>
      </w:pPr>
      <w:r>
        <w:t>2. Acceptance Criteria (Given–When–Then)</w:t>
      </w:r>
    </w:p>
    <w:p w14:paraId="14368BAE">
      <w:r>
        <w:t>AC-01 — Cộng điểm cho đơn hàng thành công</w:t>
      </w:r>
    </w:p>
    <w:p w14:paraId="3426AE21">
      <w:r>
        <w:t>Given khách hàng có đơn hàng đã thanh toán thành công với giá trị đủ điều kiện là 120.000đ và chưa có điểm được ghi nhận cho đơn này, When hệ thống nhận xác nhận thanh toán thành công, Then hệ thống cộng 12 điểm vào tài khoản khách hàng và ghi nhận giao dịch tích điểm gắn với mã đơn hàng.</w:t>
      </w:r>
    </w:p>
    <w:p w14:paraId="779C2C4E">
      <w:r>
        <w:t>AC-02 — Không cộng điểm cho đơn chưa thành công</w:t>
      </w:r>
    </w:p>
    <w:p w14:paraId="18AD511D">
      <w:r>
        <w:t>Given đơn hàng đang ở trạng thái chờ thanh toán hoặc thanh toán thất bại, When hệ thống xử lý sự kiện cập nhật trạng thái đơn hàng, Then hệ thống không cộng điểm và không tạo giao dịch tích điểm cho đơn đó.</w:t>
      </w:r>
    </w:p>
    <w:p w14:paraId="6D4A8768">
      <w:r>
        <w:t>AC-03 — Ngoại lệ: đơn bị hủy/hoàn sau khi đã tích điểm</w:t>
      </w:r>
    </w:p>
    <w:p w14:paraId="5A353673">
      <w:r>
        <w:t>Given đơn hàng đã thanh toán thành công và khách hàng đã được cộng 12 điểm, When đơn hàng sau đó chuyển sang trạng thái hủy hoặc hoàn tiền theo quy trình hợp lệ, Then hệ thống ghi nhận giao dịch thu hồi 12 điểm, cập nhật số dư tương ứng và không xóa dấu vết giao dịch tích điểm ban đầu.</w:t>
      </w:r>
    </w:p>
    <w:p w14:paraId="38182326">
      <w:r>
        <w:t>AC-04 — Tránh cộng điểm trùng khi nhận sự kiện lặp</w:t>
      </w:r>
    </w:p>
    <w:p w14:paraId="178B871D">
      <w:r>
        <w:t>Given đơn hàng đã được cộng điểm một lần, When hệ thống nhận lại cùng một thông báo thanh toán thành công do gửi lặp, Then hệ thống không cộng điểm lần thứ hai và chỉ giữ một giao dịch tích điểm hợp lệ cho mã đơn hàng đó.</w:t>
      </w:r>
    </w:p>
    <w:p w14:paraId="77F9AB8D">
      <w:pPr>
        <w:pStyle w:val="3"/>
      </w:pPr>
      <w:r>
        <w:t>3. Definition of Done (DoD) áp dụng chung cho Sprint 1</w:t>
      </w:r>
    </w:p>
    <w:p w14:paraId="66A52839">
      <w:pPr>
        <w:pStyle w:val="23"/>
      </w:pPr>
      <w:r>
        <w:t>Mã nguồn đã được rà soát (code review) bởi ít nhất một thành viên khác và tuân thủ quy ước đặt tên/cấu trúc của dự án.</w:t>
      </w:r>
    </w:p>
    <w:p w14:paraId="74B9D345">
      <w:pPr>
        <w:pStyle w:val="23"/>
      </w:pPr>
      <w:r>
        <w:t>Các kiểm thử đơn vị và kiểm thử tích hợp liên quan đã chạy thành công; không còn lỗi nghiêm trọng hoặc lỗi mức cao chưa có phương án xử lý được PO chấp thuận.</w:t>
      </w:r>
    </w:p>
    <w:p w14:paraId="664B8DAC">
      <w:pPr>
        <w:pStyle w:val="23"/>
      </w:pPr>
      <w:r>
        <w:t>Chức năng đã tích hợp vào nhánh phát hành của Sprint, chạy được trong môi trường kiểm thử và không làm hỏng các chức năng hiện có.</w:t>
      </w:r>
    </w:p>
    <w:p w14:paraId="2B3F664C">
      <w:pPr>
        <w:pStyle w:val="23"/>
      </w:pPr>
      <w:r>
        <w:t>Tài liệu kỹ thuật/nghiệp vụ liên quan, cấu hình cần thiết và hướng dẫn kiểm thử đã được cập nhật để thành viên khác có thể tái hiện kết quả.</w:t>
      </w:r>
    </w:p>
    <w:p w14:paraId="3D1269FF">
      <w:pPr>
        <w:pStyle w:val="23"/>
      </w:pPr>
      <w:r>
        <w:t>PO đã kiểm tra Increment theo mục tiêu Sprint và xác nhận các hạng mục hoàn thành đáp ứng tiêu chuẩn chất lượng chung.</w:t>
      </w:r>
    </w:p>
    <w:p w14:paraId="37BAF0E8">
      <w:pPr>
        <w:pStyle w:val="2"/>
      </w:pPr>
      <w:r>
        <w:t>PHẦN D — XỬ LÝ TÌNH HUỐNG THAY ĐỔI</w:t>
      </w:r>
    </w:p>
    <w:p w14:paraId="6DF1EA9E">
      <w:pPr>
        <w:pStyle w:val="3"/>
      </w:pPr>
      <w:r>
        <w:t>1. Tiếp nhận thay đổi mà không phá vỡ Sprint hiện tại</w:t>
      </w:r>
    </w:p>
    <w:p w14:paraId="66C6455C">
      <w:r>
        <w:t>Marketing đề nghị đổi tỷ lệ từ 100 điểm = 20.000đ sang 100 điểm = 25.000đ giữa Sprint 1. Scrum Master ghi nhận yêu cầu và giúp Marketing làm rõ lý do, thời điểm áp dụng, phạm vi ảnh hưởng và cách xử lý giao dịch đã phát sinh; không tự ý yêu cầu đội phát triển đổi ngay. Product Owner đánh giá giá trị, rủi ro và sắp xếp lại Product Backlog. Đội tiếp tục hướng tới Sprint Goal đã thống nhất; thay đổi được đưa vào Sprint sau. Nếu thay đổi khiến Sprint Goal không còn giá trị, chỉ Product Owner mới có thể hủy Sprint theo Scrum Guide; sau đó lập kế hoạch Sprint mới. Không thay đổi phạm vi giữa Sprint theo cách làm mất mục tiêu hoặc gây gián đoạn tùy tiện.</w:t>
      </w:r>
    </w:p>
    <w:p w14:paraId="17BBE29A">
      <w:pPr>
        <w:pStyle w:val="3"/>
      </w:pPr>
      <w:r>
        <w:t>2. Tác động tới Product Backlog</w:t>
      </w:r>
    </w:p>
    <w:p w14:paraId="71BC9D92">
      <w:r>
        <w:t>PO cập nhật PB-03 từ tỷ lệ 100 điểm = 20.000đ thành 100 điểm = 25.000đ, ghi rõ ngày/giờ bắt đầu áp dụng và cách xử lý các giao dịch trước thời điểm đó. PO cùng Marketing và Kế toán xác nhận quy tắc có hiệu lực cho giao dịch mới hay áp dụng hồi tố; không tự suy đoán việc đổi tỷ lệ cho số dư hoặc mã giảm giá đã phát hành. Sau khi làm rõ, PO cập nhật độ ưu tiên/ước lượng nếu cần và đưa thay đổi vào Sprint Backlog của Sprint kế tiếp thông qua Sprint Planning.</w:t>
      </w:r>
    </w:p>
    <w:p w14:paraId="0187730F">
      <w:pPr>
        <w:pStyle w:val="3"/>
      </w:pPr>
      <w:r>
        <w:t>3. Tác động tới Acceptance Criteria và DoD</w:t>
      </w:r>
    </w:p>
    <w:p w14:paraId="1F0929B3">
      <w:r>
        <w:t>Acceptance Criteria của PB-03 phải được cập nhật để kiểm tra tỷ lệ mới: ví dụ 100 điểm đổi được 25.000đ; kiểm tra thêm trường hợp đổi ít hơn 100 điểm, số dư không đủ và giao dịch diễn ra sát thời điểm chuyển tỷ lệ. Nếu AC cũ đã được dùng để phát triển hoặc kiểm thử trong Sprint 1, không âm thầm thay tiêu chí giữa Sprint; ghi nhận thay đổi thành yêu cầu mới/cập nhật Product Backlog và xác nhận lại trong Sprint kế tiếp. AC của PB-01 về tỷ lệ tích điểm 10.000đ = 1 điểm không thay đổi vì yêu cầu chỉ tác động đến tỷ lệ đổi điểm.</w:t>
      </w:r>
    </w:p>
    <w:p w14:paraId="5FA28441">
      <w:r>
        <w:t>Definition of Done không cần đổi chỉ vì tỷ lệ quy đổi thay đổi, vì DoD là chuẩn chất lượng chung áp dụng cho mọi hạng mục. Tuy nhiên, ở Sprint triển khai thay đổi, các tiêu chí DoD hiện có vẫn bắt buộc: rà soát mã, kiểm thử hồi quy và tích hợp, cập nhật tài liệu/cấu hình, kiểm tra Increment và PO xác nhận. Bổ sung kiểm thử tỷ lệ mới vào bộ kiểm thử của PB-03 là cập nhật Acceptance Criteria/test case, không phải thay thế hoặc nới lỏng DoD.</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C896D">
    <w:pPr>
      <w:pStyle w:val="18"/>
      <w:jc w:val="center"/>
    </w:pPr>
    <w:r>
      <w:rPr>
        <w:rFonts w:ascii="Times New Roman" w:hAnsi="Times New Roman"/>
        <w:i/>
        <w:sz w:val="18"/>
      </w:rPr>
      <w:t>GreenMart Loyalty | Tài liệu vận hành Scrum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535C8C"/>
    <w:rsid w:val="6CE57E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hoang</cp:lastModifiedBy>
  <dcterms:modified xsi:type="dcterms:W3CDTF">2026-10-14T06:52:47Z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AA68FF49E4644F278E55171C02181999_12</vt:lpwstr>
  </property>
</Properties>
</file>