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Arial" w:cs="Times New Roman"/>
          <w:sz w:val="28"/>
          <w:szCs w:val="28"/>
        </w:rPr>
      </w:pP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Arial" w:cs="Times New Roman"/>
          <w:sz w:val="28"/>
          <w:szCs w:val="28"/>
        </w:rPr>
      </w:pP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Arial" w:cs="Times New Roman"/>
          <w:sz w:val="28"/>
          <w:szCs w:val="28"/>
        </w:rPr>
      </w:pP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Arial" w:cs="Times New Roman"/>
          <w:b/>
          <w:bCs/>
          <w:color w:val="0A2357"/>
          <w:sz w:val="72"/>
          <w:szCs w:val="72"/>
        </w:rPr>
      </w:pP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hint="default" w:ascii="Times New Roman" w:hAnsi="Times New Roman" w:eastAsia="Arial" w:cs="Times New Roman"/>
          <w:b/>
          <w:bCs/>
          <w:color w:val="0A2357"/>
          <w:sz w:val="72"/>
          <w:szCs w:val="72"/>
        </w:rPr>
      </w:pP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0" w:right="0" w:firstLine="0"/>
        <w:jc w:val="center"/>
        <w:rPr>
          <w:rFonts w:hint="default" w:ascii="Times New Roman" w:hAnsi="Times New Roman" w:eastAsia="Arial" w:cs="Times New Roman"/>
          <w:sz w:val="21"/>
          <w:szCs w:val="22"/>
        </w:rPr>
      </w:pPr>
      <w:r>
        <w:rPr>
          <w:rFonts w:hint="default" w:ascii="Times New Roman" w:hAnsi="Times New Roman" w:eastAsia="Arial" w:cs="Times New Roman"/>
          <w:b/>
          <w:bCs/>
          <w:color w:val="0B2A5B"/>
          <w:sz w:val="60"/>
          <w:szCs w:val="72"/>
          <w:rtl w:val="0"/>
        </w:rPr>
        <w:t>TECHNICAL PROPOSAL</w:t>
      </w:r>
    </w:p>
    <w:p w14:paraId="00000007">
      <w:pPr>
        <w:spacing w:before="0" w:after="0" w:line="360" w:lineRule="auto"/>
        <w:jc w:val="center"/>
        <w:rPr>
          <w:rFonts w:hint="default" w:ascii="Times New Roman" w:hAnsi="Times New Roman" w:eastAsia="Arial" w:cs="Times New Roman"/>
          <w:b/>
          <w:bCs/>
          <w:sz w:val="21"/>
          <w:szCs w:val="22"/>
        </w:rPr>
      </w:pPr>
      <w:r>
        <w:rPr>
          <w:rFonts w:hint="default" w:ascii="Times New Roman" w:hAnsi="Times New Roman" w:eastAsia="Arial" w:cs="Times New Roman"/>
          <w:b w:val="0"/>
          <w:bCs/>
          <w:color w:val="53657A"/>
          <w:sz w:val="22"/>
          <w:szCs w:val="28"/>
          <w:rtl w:val="0"/>
        </w:rPr>
        <w:t>Phase 2 — Technical Submission</w:t>
      </w:r>
    </w:p>
    <w:p w14:paraId="00000008">
      <w:pPr>
        <w:pBdr>
          <w:bottom w:val="single" w:color="00B4D8" w:sz="8" w:space="1"/>
        </w:pBdr>
        <w:spacing w:before="0" w:after="0" w:line="360" w:lineRule="auto"/>
        <w:rPr>
          <w:rFonts w:hint="default" w:ascii="Times New Roman" w:hAnsi="Times New Roman" w:eastAsia="Arial" w:cs="Times New Roman"/>
          <w:sz w:val="21"/>
          <w:szCs w:val="22"/>
        </w:rPr>
      </w:pPr>
    </w:p>
    <w:p w14:paraId="00000009">
      <w:pPr>
        <w:spacing w:before="0" w:after="0" w:line="360" w:lineRule="auto"/>
        <w:rPr>
          <w:rFonts w:hint="default" w:ascii="Times New Roman" w:hAnsi="Times New Roman" w:eastAsia="Arial" w:cs="Times New Roman"/>
          <w:sz w:val="21"/>
          <w:szCs w:val="22"/>
        </w:rPr>
      </w:pPr>
    </w:p>
    <w:p w14:paraId="0000000A">
      <w:pPr>
        <w:spacing w:before="0" w:after="0" w:line="360" w:lineRule="auto"/>
        <w:rPr>
          <w:rFonts w:hint="default" w:ascii="Times New Roman" w:hAnsi="Times New Roman" w:eastAsia="Arial" w:cs="Times New Roman"/>
          <w:sz w:val="21"/>
          <w:szCs w:val="22"/>
        </w:rPr>
      </w:pPr>
    </w:p>
    <w:p w14:paraId="0000000B">
      <w:pPr>
        <w:spacing w:before="0" w:after="0" w:line="360" w:lineRule="auto"/>
        <w:rPr>
          <w:rFonts w:hint="default" w:ascii="Times New Roman" w:hAnsi="Times New Roman" w:eastAsia="Arial" w:cs="Times New Roman"/>
          <w:sz w:val="21"/>
          <w:szCs w:val="22"/>
        </w:rPr>
      </w:pPr>
    </w:p>
    <w:p w14:paraId="0000000C">
      <w:pPr>
        <w:spacing w:before="0" w:after="0" w:line="360" w:lineRule="auto"/>
        <w:rPr>
          <w:rFonts w:hint="default" w:ascii="Times New Roman" w:hAnsi="Times New Roman" w:eastAsia="Arial" w:cs="Times New Roman"/>
          <w:sz w:val="21"/>
          <w:szCs w:val="22"/>
        </w:rPr>
      </w:pPr>
    </w:p>
    <w:p w14:paraId="0000000D">
      <w:pPr>
        <w:spacing w:before="0" w:after="0" w:line="360" w:lineRule="auto"/>
        <w:rPr>
          <w:rFonts w:hint="default" w:ascii="Times New Roman" w:hAnsi="Times New Roman" w:eastAsia="Arial" w:cs="Times New Roman"/>
          <w:sz w:val="21"/>
          <w:szCs w:val="22"/>
        </w:rPr>
      </w:pPr>
    </w:p>
    <w:tbl>
      <w:tblPr>
        <w:tblStyle w:val="13"/>
        <w:tblW w:w="10265"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15" w:type="dxa"/>
          <w:bottom w:w="0" w:type="dxa"/>
          <w:right w:w="115" w:type="dxa"/>
        </w:tblCellMar>
      </w:tblPr>
      <w:tblGrid>
        <w:gridCol w:w="4995"/>
        <w:gridCol w:w="5270"/>
      </w:tblGrid>
      <w:tr w14:paraId="04AD3923">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15" w:type="dxa"/>
            <w:bottom w:w="0" w:type="dxa"/>
            <w:right w:w="115" w:type="dxa"/>
          </w:tblCellMar>
        </w:tblPrEx>
        <w:trP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0E">
            <w:pPr>
              <w:spacing w:before="0" w:after="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FFFFFF"/>
                <w:sz w:val="21"/>
                <w:szCs w:val="22"/>
                <w:rtl w:val="0"/>
              </w:rPr>
              <w:t>Team / Project Name</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764984D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NOVOICE — Offline, Safety-Aware Medical Speech-to-Speech Translation on Qualcomm Hexagon NPU</w:t>
            </w:r>
          </w:p>
        </w:tc>
      </w:tr>
      <w:tr w14:paraId="64C2D936">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15" w:type="dxa"/>
            <w:bottom w:w="0" w:type="dxa"/>
            <w:right w:w="115" w:type="dxa"/>
          </w:tblCellMar>
        </w:tblPrEx>
        <w:trP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10">
            <w:pPr>
              <w:spacing w:before="0" w:after="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FFFFFF"/>
                <w:sz w:val="21"/>
                <w:szCs w:val="22"/>
                <w:rtl w:val="0"/>
              </w:rPr>
              <w:t>Submission Date</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56B8C3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21 / 08 / 2026</w:t>
            </w:r>
          </w:p>
        </w:tc>
      </w:tr>
      <w:tr w14:paraId="7DF939DA">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15" w:type="dxa"/>
            <w:bottom w:w="0" w:type="dxa"/>
            <w:right w:w="115" w:type="dxa"/>
          </w:tblCellMar>
        </w:tblPrEx>
        <w:trP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12">
            <w:pPr>
              <w:spacing w:before="0" w:after="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FFFFFF"/>
                <w:sz w:val="21"/>
                <w:szCs w:val="22"/>
                <w:rtl w:val="0"/>
              </w:rPr>
              <w:t>Version</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C01330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v2.0 — Technical Redesign (Architecture Revised)</w:t>
            </w:r>
          </w:p>
        </w:tc>
      </w:tr>
      <w:tr w14:paraId="34AC4A04">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15" w:type="dxa"/>
            <w:bottom w:w="0" w:type="dxa"/>
            <w:right w:w="115" w:type="dxa"/>
          </w:tblCellMar>
        </w:tblPrEx>
        <w:trP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14">
            <w:pPr>
              <w:spacing w:before="0" w:after="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FFFFFF"/>
                <w:sz w:val="21"/>
                <w:szCs w:val="22"/>
                <w:rtl w:val="0"/>
              </w:rPr>
              <w:t>Confidentiality</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0000015">
            <w:pPr>
              <w:spacing w:before="0" w:after="0" w:line="360" w:lineRule="auto"/>
              <w:rPr>
                <w:rFonts w:hint="default" w:ascii="Times New Roman" w:hAnsi="Times New Roman" w:eastAsia="Arial" w:cs="Times New Roman"/>
                <w:sz w:val="21"/>
                <w:szCs w:val="22"/>
              </w:rPr>
            </w:pPr>
            <w:r>
              <w:rPr>
                <w:rFonts w:hint="default" w:ascii="Times New Roman" w:hAnsi="Times New Roman" w:eastAsia="Arial" w:cs="Times New Roman"/>
                <w:i w:val="0"/>
                <w:iCs w:val="0"/>
                <w:color w:val="243447"/>
                <w:sz w:val="21"/>
                <w:szCs w:val="22"/>
                <w:rtl w:val="0"/>
              </w:rPr>
              <w:t>Restricted — Challenge Review Only</w:t>
            </w:r>
          </w:p>
        </w:tc>
      </w:tr>
    </w:tbl>
    <w:p w14:paraId="00000016">
      <w:pPr>
        <w:spacing w:before="0" w:after="0" w:line="360" w:lineRule="auto"/>
        <w:rPr>
          <w:rFonts w:hint="default" w:ascii="Times New Roman" w:hAnsi="Times New Roman" w:eastAsia="Arial" w:cs="Times New Roman"/>
          <w:b/>
          <w:bCs/>
          <w:sz w:val="21"/>
          <w:szCs w:val="22"/>
        </w:rPr>
      </w:pPr>
    </w:p>
    <w:p w14:paraId="00000017">
      <w:pPr>
        <w:spacing w:before="0" w:after="0" w:line="360" w:lineRule="auto"/>
        <w:rPr>
          <w:rFonts w:hint="default" w:ascii="Times New Roman" w:hAnsi="Times New Roman" w:eastAsia="Arial" w:cs="Times New Roman"/>
          <w:b/>
          <w:bCs/>
          <w:sz w:val="36"/>
          <w:szCs w:val="36"/>
        </w:rPr>
      </w:pPr>
    </w:p>
    <w:p w14:paraId="00000018">
      <w:pPr>
        <w:spacing w:before="0" w:after="0" w:line="360" w:lineRule="auto"/>
        <w:rPr>
          <w:rFonts w:hint="default" w:ascii="Times New Roman" w:hAnsi="Times New Roman" w:eastAsia="Arial" w:cs="Times New Roman"/>
          <w:b/>
          <w:bCs/>
          <w:sz w:val="36"/>
          <w:szCs w:val="36"/>
        </w:rPr>
      </w:pPr>
    </w:p>
    <w:p w14:paraId="00000019">
      <w:pPr>
        <w:spacing w:before="0" w:after="0" w:line="360" w:lineRule="auto"/>
        <w:rPr>
          <w:rFonts w:hint="default" w:ascii="Times New Roman" w:hAnsi="Times New Roman" w:eastAsia="Arial" w:cs="Times New Roman"/>
          <w:b/>
          <w:bCs/>
          <w:sz w:val="21"/>
          <w:szCs w:val="22"/>
        </w:rPr>
      </w:pPr>
    </w:p>
    <w:p w14:paraId="0000001E">
      <w:pPr>
        <w:spacing w:before="0" w:after="0" w:line="360" w:lineRule="auto"/>
        <w:rPr>
          <w:rFonts w:hint="default" w:ascii="Times New Roman" w:hAnsi="Times New Roman" w:eastAsia="Arial" w:cs="Times New Roman"/>
          <w:sz w:val="21"/>
          <w:szCs w:val="22"/>
        </w:rPr>
      </w:pPr>
      <w:r>
        <w:rPr>
          <w:rFonts w:hint="default" w:ascii="Times New Roman" w:hAnsi="Times New Roman" w:cs="Times New Roman"/>
          <w:sz w:val="21"/>
          <w:szCs w:val="22"/>
        </w:rPr>
        <w:br w:type="page"/>
      </w:r>
    </w:p>
    <w:p w14:paraId="0000003B">
      <w:pPr>
        <w:keepNext/>
        <w:pageBreakBefore/>
        <w:pBdr>
          <w:bottom w:val="single" w:color="00B4D8" w:sz="6" w:space="1"/>
        </w:pBdr>
        <w:spacing w:before="120" w:after="10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0B2A5B"/>
          <w:sz w:val="36"/>
          <w:szCs w:val="36"/>
          <w:rtl w:val="0"/>
        </w:rPr>
        <w:t>1.  Executive Summary</w:t>
      </w:r>
    </w:p>
    <w:p w14:paraId="448E5736">
      <w:pPr>
        <w:keepNext/>
        <w:spacing w:before="8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color w:val="00A9E0"/>
          <w:sz w:val="28"/>
          <w:szCs w:val="22"/>
        </w:rPr>
        <w:t>1.1  Problem Overview</w:t>
      </w:r>
    </w:p>
    <w:p w14:paraId="57C51F6D">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Clinical teams serving Vietnamese-English encounters need immediate, accurate voice communication during triage, ICU handoffs, surgery, medication administration, and discharge. General-purpose cloud translation may be unavailable in shielded or low-connectivity clinical areas, sends sensitive audio off-device, and does not deterministically preserve dosages, units, drug names, or negation. Human interpreters remain the preferred option but may not be immediately available in emergencies or for underserved language pairs.</w:t>
      </w:r>
    </w:p>
    <w:p w14:paraId="338F88FF">
      <w:pPr>
        <w:keepNext/>
        <w:spacing w:before="8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color w:val="00A9E0"/>
          <w:sz w:val="28"/>
          <w:szCs w:val="22"/>
        </w:rPr>
        <w:t>1.2  Proposed Solution</w:t>
      </w:r>
    </w:p>
    <w:p w14:paraId="3368CAF8">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NOVOICE is a push-to-talk wearable medical interpreter running fully on a Qualcomm QCS6490-class edge processor. Audio is cleaned by RNNoise and WebRTC AEC, segmented by Silero VAD, transcribed by multilingual Whisper-small, and normalised by a medical correction layer. A Verified-First route retrieves pre-approved emergency phrases; unmatched speech follows NLLB-200 translation with entity extraction, reinjection, and deterministic safety validation before bilingual display and TTS playback.</w:t>
      </w:r>
    </w:p>
    <w:p w14:paraId="7EDF2BA0">
      <w:pPr>
        <w:keepNext/>
        <w:spacing w:before="8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color w:val="00A9E0"/>
          <w:sz w:val="28"/>
          <w:szCs w:val="22"/>
        </w:rPr>
        <w:t>1.3  Key Value Proposition</w:t>
      </w:r>
    </w:p>
    <w:p w14:paraId="45567B18">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Four capabilities distinguish NOVOICE: fully offline processing with zero runtime audio egress; deterministic retrieval for 300+ critical phrase candidates; explicit preservation checks for numbers, units, drug names, and negation; and an NPU-ready modular pipeline with CPU fallback. Phase 1 measured retrieval precision of 100% with P99 latency of 0.21 ms, while the controlled entity test reached 100% preservation after guardrail activation. The &lt;2.0 s P90 latency, &lt;15% WER, approximately 1.8 GB peak RAM, and 5-7 hour duty-cycle runtime remain Phase 3 targets or engineering estimates rather than measured on-device results.</w:t>
      </w:r>
    </w:p>
    <w:p w14:paraId="0000004E">
      <w:pPr>
        <w:keepNext/>
        <w:pBdr>
          <w:bottom w:val="single" w:color="00B4D8" w:sz="6" w:space="1"/>
        </w:pBdr>
        <w:spacing w:before="120" w:after="10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0B2A5B"/>
          <w:sz w:val="36"/>
          <w:szCs w:val="36"/>
          <w:rtl w:val="0"/>
        </w:rPr>
        <w:t>2.  Problem Definition &amp; Target Users</w:t>
      </w:r>
    </w:p>
    <w:p w14:paraId="00000052">
      <w:pPr>
        <w:keepNext/>
        <w:spacing w:before="80" w:after="6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00A9E0"/>
          <w:sz w:val="28"/>
          <w:szCs w:val="28"/>
          <w:rtl w:val="0"/>
        </w:rPr>
        <w:t>2.1  Problem Statement</w:t>
      </w:r>
    </w:p>
    <w:p w14:paraId="12153010">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Vietnamese-English communication failures can delay triage, ICU handoffs, surgery preparation, medication administration, and discharge. The risk is highest when speech contains dosages, units, drug names, allergies, or negation: a small transcription or translation error can change clinical meaning. Qualified interpreters remain the preferred option, but they may not be immediately available during emergencies or for underserved language pairs.</w:t>
      </w:r>
    </w:p>
    <w:p w14:paraId="7AACF76E">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Cloud translation tools are a poor fallback in shielded or low-connectivity areas, transmit sensitive audio beyond the device, and do not guarantee preservation of medical entities. General offline models remove network dependency but still struggle with domain terminology and accents. NOVOICE addresses this gap with an offline push-to-talk pipeline, a clinician-reviewed Verified-First phrase route, constrained neural translation for open dialogue, and deterministic validation before display or playback. It supports urgent communication while keeping the clinician in control and does not replace professional interpretation or clinical judgement.</w:t>
      </w:r>
    </w:p>
    <w:p w14:paraId="00000056">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2.2  Impact Analysis</w:t>
      </w:r>
    </w:p>
    <w:tbl>
      <w:tblPr>
        <w:tblStyle w:val="17"/>
        <w:tblW w:w="10265"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3315"/>
        <w:gridCol w:w="3405"/>
        <w:gridCol w:w="3545"/>
      </w:tblGrid>
      <w:tr w14:paraId="06D911B1">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rHeight w:val="90" w:hRule="atLeast"/>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58">
            <w:pPr>
              <w:spacing w:before="0" w:after="0" w:line="360" w:lineRule="auto"/>
              <w:jc w:val="left"/>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Impact Area</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59">
            <w:pPr>
              <w:spacing w:before="0" w:after="0" w:line="360" w:lineRule="auto"/>
              <w:jc w:val="left"/>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Current Pain Point</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5A">
            <w:pPr>
              <w:spacing w:before="0" w:after="0" w:line="360" w:lineRule="auto"/>
              <w:jc w:val="left"/>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Consequence</w:t>
            </w:r>
          </w:p>
        </w:tc>
      </w:tr>
      <w:tr w14:paraId="2CA7ADF5">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7676642">
            <w:pPr>
              <w:spacing w:before="0" w:after="0" w:line="360" w:lineRule="auto"/>
              <w:jc w:val="left"/>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Safety &amp; Clinical Operations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FB17DBA">
            <w:pPr>
              <w:spacing w:before="0" w:after="0" w:line="360" w:lineRule="auto"/>
              <w:jc w:val="left"/>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Misinterpreted verbal dosages, allergy alerts, and surgical instructions between VI/EN speakers.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BF30C1A">
            <w:pPr>
              <w:spacing w:before="0" w:after="0" w:line="360" w:lineRule="auto"/>
              <w:jc w:val="left"/>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Preventable adverse drug events (ADEs), delayed interventions, surgical miscommunications.</w:t>
            </w:r>
          </w:p>
        </w:tc>
      </w:tr>
      <w:tr w14:paraId="34B31FFB">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E8D36EF">
            <w:pPr>
              <w:spacing w:before="0" w:after="0" w:line="360" w:lineRule="auto"/>
              <w:jc w:val="left"/>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Productivity &amp; Workflow</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CFB01C0">
            <w:pPr>
              <w:spacing w:before="0" w:after="0" w:line="360" w:lineRule="auto"/>
              <w:jc w:val="left"/>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Cloud translation round-trip delays (variable — may exceed several seconds in low-bandwidth or shielded environments) stall emergency triage and clinical handoffs.</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1A743CD2">
            <w:pPr>
              <w:spacing w:before="0" w:after="0" w:line="360" w:lineRule="auto"/>
              <w:jc w:val="left"/>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Workflow bottlenecks in time-critical ER/ICU handoffs; delayed diagnosis.</w:t>
            </w:r>
          </w:p>
        </w:tc>
      </w:tr>
      <w:tr w14:paraId="1EA45094">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085F7F4">
            <w:pPr>
              <w:spacing w:before="0" w:after="0" w:line="360" w:lineRule="auto"/>
              <w:jc w:val="left"/>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Connectivity &amp; Data Privacy</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F11F7E8">
            <w:pPr>
              <w:spacing w:before="0" w:after="0" w:line="360" w:lineRule="auto"/>
              <w:jc w:val="left"/>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Shielded ORs, hospital basements, and field clinics have zero or unstable internet; patient audio is streamed to third-party cloud servers.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AB608C3">
            <w:pPr>
              <w:spacing w:before="0" w:after="0" w:line="360" w:lineRule="auto"/>
              <w:jc w:val="left"/>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Cloud apps become unresponsive at critical moments; patient confidentiality risk.</w:t>
            </w:r>
          </w:p>
        </w:tc>
      </w:tr>
    </w:tbl>
    <w:p w14:paraId="00000065">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2.3  Target Users &amp; Use Cases</w:t>
      </w:r>
    </w:p>
    <w:tbl>
      <w:tblPr>
        <w:tblStyle w:val="18"/>
        <w:tblW w:w="10255"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2445"/>
        <w:gridCol w:w="2550"/>
        <w:gridCol w:w="2550"/>
        <w:gridCol w:w="2709"/>
      </w:tblGrid>
      <w:tr w14:paraId="4F9890EB">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67">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User Segment</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68">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Language Need</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69">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Primary Context</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6A">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Priority</w:t>
            </w:r>
          </w:p>
        </w:tc>
      </w:tr>
      <w:tr w14:paraId="76341A5A">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07BF13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Vietnamese Doctors &amp; Nurses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4F91CD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VI ↔ EN (code-switching)</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B7177C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Emergency triage, ICU vitals, surgical ward handoffs.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72530C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Critical</w:t>
            </w:r>
          </w:p>
        </w:tc>
      </w:tr>
      <w:tr w14:paraId="5669D7A1">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58D72B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Foreign Specialists &amp; Missionaries</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0A5AE6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EN ↔ VI</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25870F6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Clinical diagnosis, complex surgeries, medical exchange.</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17A1847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Critical</w:t>
            </w:r>
          </w:p>
        </w:tc>
      </w:tr>
      <w:tr w14:paraId="106662A7">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DA883D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International Patients &amp; Tourists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2DEA59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EN ↔ VI</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D26137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Hospital admissions, symptom intake, discharge instructions.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AC7A89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High</w:t>
            </w:r>
          </w:p>
        </w:tc>
      </w:tr>
    </w:tbl>
    <w:p w14:paraId="00000078">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2.4  Key Design Constraints</w:t>
      </w:r>
    </w:p>
    <w:tbl>
      <w:tblPr>
        <w:tblStyle w:val="19"/>
        <w:tblW w:w="10270"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5010"/>
        <w:gridCol w:w="5260"/>
      </w:tblGrid>
      <w:tr w14:paraId="680D99C8">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7A">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Constraint</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7B">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Target / Requirement</w:t>
            </w:r>
          </w:p>
        </w:tc>
      </w:tr>
      <w:tr w14:paraId="3AE2657F">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98E993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Internet dependency</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9752B5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Zero (0%) — 100% fully autonomous on-device inference at runtime.</w:t>
            </w:r>
          </w:p>
        </w:tc>
      </w:tr>
      <w:tr w14:paraId="59CF9AB9">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69DB15A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End-to-end translation latency</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FE2717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Target: &lt;2.0 s P90 from speech endpoint to first translated audio output. (Team Target — pending QCS6490 on-device benchmark.)</w:t>
            </w:r>
          </w:p>
        </w:tc>
      </w:tr>
      <w:tr w14:paraId="0F012B6C">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119B0F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Target deployment environment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2C2DC6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Clinical wards, ER, OR, ambulances. Acoustic noise up to 75–80 dB.</w:t>
            </w:r>
          </w:p>
        </w:tc>
      </w:tr>
      <w:tr w14:paraId="651BE587">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46A3C0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Language pairs</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53C7CB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Vietnamese ↔ English; Northern/Central/Southern dialects; VI-EN code-switching.</w:t>
            </w:r>
          </w:p>
        </w:tc>
      </w:tr>
      <w:tr w14:paraId="0A0369AA">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0E6D9E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Device &amp; battery</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4F69B7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Wearable badge: &lt;300 g development prototype; &lt;200 g production target (custom PCB). Estimated ~5–7 h depending on duty cycle (E: duty-cycle estimate; pending Phase 3 prototype measurement).</w:t>
            </w:r>
          </w:p>
        </w:tc>
      </w:tr>
      <w:tr w14:paraId="1FC59DD8">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287B50F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Real-Time Factor (RTF)</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69F691B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RTF &lt; 1.0 (competition requirement). System must process speech faster than real-time for natural conversation flow.</w:t>
            </w:r>
          </w:p>
        </w:tc>
      </w:tr>
    </w:tbl>
    <w:p w14:paraId="2B94350E">
      <w:pPr>
        <w:pBdr>
          <w:bottom w:val="single" w:color="00B4D8" w:sz="6" w:space="1"/>
        </w:pBdr>
        <w:spacing w:before="0" w:after="0" w:line="360" w:lineRule="auto"/>
        <w:rPr>
          <w:rFonts w:hint="default" w:ascii="Times New Roman" w:hAnsi="Times New Roman" w:eastAsia="Arial" w:cs="Times New Roman"/>
          <w:b/>
          <w:bCs/>
          <w:color w:val="0B2A5B"/>
          <w:sz w:val="36"/>
          <w:szCs w:val="36"/>
          <w:rtl w:val="0"/>
        </w:rPr>
      </w:pPr>
    </w:p>
    <w:p w14:paraId="00000088">
      <w:pPr>
        <w:pBdr>
          <w:bottom w:val="single" w:color="00B4D8" w:sz="6" w:space="1"/>
        </w:pBdr>
        <w:spacing w:before="0" w:after="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0B2A5B"/>
          <w:sz w:val="36"/>
          <w:szCs w:val="36"/>
          <w:rtl w:val="0"/>
        </w:rPr>
        <w:t>3.  Business Solution &amp; Innovation</w:t>
      </w:r>
    </w:p>
    <w:p w14:paraId="0000008C">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3.1  Industry Problem &amp; Solution Fit</w:t>
      </w:r>
    </w:p>
    <w:p w14:paraId="5782ECC9">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Two existing approaches expose a clear solution gap. First, cloud translation applications depend on network availability, introduce variable round-trip latency, and send clinical audio outside the device boundary; they also provide no deterministic indication that a dosage or drug name survived translation. NOVOICE directly addresses these failure modes with zero-connectivity runtime, local processing, a visible safety status, and an auditable bilingual transcript.</w:t>
      </w:r>
    </w:p>
    <w:p w14:paraId="1F155707">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Second, general-purpose offline ASR/MT stacks remove cloud dependency but remain vulnerable to medical-domain mismatch and unconstrained handling of numbers, units, negation, and terminology. NOVOICE adds a Verified-First phrase path for critical commands, medical correction before translation, entity extraction and reinjection around NMT, and a post-translation validator. It is intended as a communication bridge when a qualified interpreter is not immediately available, not as a replacement for clinical judgement or formal interpretation services.</w:t>
      </w:r>
    </w:p>
    <w:p w14:paraId="00000090">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3.2  Innovation &amp; Competitive Strengths</w:t>
      </w:r>
    </w:p>
    <w:tbl>
      <w:tblPr>
        <w:tblStyle w:val="20"/>
        <w:tblW w:w="10250"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3330"/>
        <w:gridCol w:w="3405"/>
        <w:gridCol w:w="3515"/>
      </w:tblGrid>
      <w:tr w14:paraId="10D8403D">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92">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Dimension</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93">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Existing Solutions</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6BA2459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NOVOICE</w:t>
            </w:r>
          </w:p>
        </w:tc>
      </w:tr>
      <w:tr w14:paraId="16C44108">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645055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Connectivity</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8671C0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Cloud-dependent — fails in shielded clinical environments without reliable internet.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E6F7FA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100% Fully Offline — privacy-by-design; zero audio egress; air-gapped deployment.</w:t>
            </w:r>
          </w:p>
        </w:tc>
      </w:tr>
      <w:tr w14:paraId="561B457C">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5D7DD1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Turnaround Latency</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AE46ED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Network-dependent turnaround; latency varies with connectivity and may be unacceptable in time-critical workflows.</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17D8ABF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&lt;2.0 s P90 target via on-device pipeline (Team Target — pending on-device benchmark).</w:t>
            </w:r>
          </w:p>
        </w:tc>
      </w:tr>
      <w:tr w14:paraId="7D6CC746">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6C3926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Medical Terminology</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C70A32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Generic models may not reliably preserve precise medical terminology, dosages, and clinical abbreviations.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784B8E9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Terminology preservation layer: numbers, drug names, units extracted before MT and verified after.</w:t>
            </w:r>
          </w:p>
        </w:tc>
      </w:tr>
      <w:tr w14:paraId="3B5C17B0">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A5675B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Data Privacy</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68C994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Patient audio and transcripts transmitted to third-party cloud servers.</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EAD576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100% on-device processing; zero audio egress; privacy-by-design architecture.</w:t>
            </w:r>
          </w:p>
        </w:tc>
      </w:tr>
      <w:tr w14:paraId="0AB31A96">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885782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Safety Verification</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C55920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Limited or no output validation workflow; translated output may not be verified before clinical use.</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F3C7FF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Safety validator + bilingual display: clinician sees original + translation; LOW CONFIDENCE flagged.</w:t>
            </w:r>
          </w:p>
        </w:tc>
      </w:tr>
      <w:tr w14:paraId="04232659">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D27A88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Emergency Response</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81051D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No pre-verified clinical phrase library reported; output is neural-generated without deterministic recall guarantees.</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26743C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Verified-First: 300+ curated emergency phrase candidates with clinician-verified translations (Phase 3 clinical review planned); &lt;30 ms deterministic retrieval bypasses neural pipeline entirely. Status: 'RETRIEVED — VERIFIED' displayed to clinician.</w:t>
            </w:r>
          </w:p>
        </w:tc>
      </w:tr>
    </w:tbl>
    <w:p w14:paraId="7CEF3C1B">
      <w:pPr>
        <w:pBdr>
          <w:bottom w:val="single" w:color="00B4D8" w:sz="6" w:space="1"/>
        </w:pBdr>
        <w:spacing w:before="0" w:after="0" w:line="360" w:lineRule="auto"/>
        <w:rPr>
          <w:rFonts w:hint="default" w:ascii="Times New Roman" w:hAnsi="Times New Roman" w:eastAsia="Arial" w:cs="Times New Roman"/>
          <w:b w:val="0"/>
          <w:color w:val="243447"/>
          <w:sz w:val="21"/>
          <w:szCs w:val="22"/>
        </w:rPr>
      </w:pPr>
    </w:p>
    <w:p w14:paraId="1E2EDBFD">
      <w:pPr>
        <w:pBdr>
          <w:bottom w:val="single" w:color="00B4D8" w:sz="6" w:space="1"/>
        </w:pBdr>
        <w:spacing w:before="0" w:after="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NOVOICE is distinctly innovative because it combines two complementary paths in one offline safety architecture: deterministic retrieval for critical phrases and medically constrained neural translation for open dialogue. The design exposes provenance to the clinician, validates safety-critical entities before playback, and preserves a CPU fallback; measured retrieval and controlled entity results are separated from Phase 3 WER, latency, power, and NPU deployment targets.</w:t>
      </w:r>
    </w:p>
    <w:p w14:paraId="000000A7">
      <w:pPr>
        <w:keepNext/>
        <w:pBdr>
          <w:bottom w:val="single" w:color="00B4D8" w:sz="6" w:space="1"/>
        </w:pBdr>
        <w:spacing w:before="120" w:after="100" w:line="360" w:lineRule="auto"/>
        <w:jc w:val="both"/>
        <w:rPr>
          <w:rFonts w:hint="default" w:ascii="Times New Roman" w:hAnsi="Times New Roman" w:eastAsia="Arial" w:cs="Times New Roman"/>
          <w:sz w:val="21"/>
          <w:szCs w:val="22"/>
        </w:rPr>
      </w:pPr>
      <w:r>
        <w:rPr>
          <w:rFonts w:hint="default" w:ascii="Times New Roman" w:hAnsi="Times New Roman" w:eastAsia="Arial" w:cs="Times New Roman"/>
          <w:b/>
          <w:bCs/>
          <w:color w:val="0B2A5B"/>
          <w:sz w:val="36"/>
          <w:szCs w:val="36"/>
          <w:rtl w:val="0"/>
        </w:rPr>
        <w:t>4.  AI Approach &amp; Technical Design</w:t>
      </w:r>
    </w:p>
    <w:p w14:paraId="000000AB">
      <w:pPr>
        <w:keepNext/>
        <w:spacing w:before="80" w:after="60" w:line="360" w:lineRule="auto"/>
        <w:jc w:val="both"/>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4.1  System Pipeline Overview</w:t>
      </w:r>
    </w:p>
    <w:p w14:paraId="2816B552">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The end-to-end flow is: push-to-talk audio capture -&gt; RNNoise/WebRTC clean-up -&gt; Silero VAD -&gt; multilingual Whisper-small ASR -&gt; medical terminology correction -&gt; Verified-First routing. The front end suppresses noise and echo, detects speech boundaries, and produces short streaming chunks so inference can start before a long utterance finishes. Whisper-small is retained for Vietnamese-English code-switching coverage, while the correction layer normalises known clinical terms before routing.</w:t>
      </w:r>
    </w:p>
    <w:p w14:paraId="404A0216">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At the routing decision, a matched critical phrase is returned from the clinician-reviewed SQLite catalog with VERIFIED provenance and bypasses generative translation. Unmatched speech follows entity extraction -&gt; NLLB-200-distilled-600M -&gt; entity reinjection -&gt; deterministic safety validation. Only validated output reaches the bilingual display, TTS playback, status ribbon, and local audit log; low-confidence or entity-mismatch cases are flagged for repeat or human confirmation. QNN/HTP is the target runtime for INT8 ASR/NMT, with ONNX Runtime ARM64 retained as an offline CPU fallback. Figure 1 in Section 6.2 shows the integrated pipeline.</w:t>
      </w:r>
    </w:p>
    <w:p w14:paraId="000000B1">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4.2  Module-by-Module Design</w:t>
      </w:r>
    </w:p>
    <w:tbl>
      <w:tblPr>
        <w:tblStyle w:val="22"/>
        <w:tblW w:w="10265"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1965"/>
        <w:gridCol w:w="2040"/>
        <w:gridCol w:w="2040"/>
        <w:gridCol w:w="2040"/>
        <w:gridCol w:w="2180"/>
      </w:tblGrid>
      <w:tr w14:paraId="2F497E6C">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B3">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Module</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B4">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Model / Framework</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B5">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Size (est.)</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B6">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Latency Target</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B7">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Key Technique</w:t>
            </w:r>
          </w:p>
        </w:tc>
      </w:tr>
      <w:tr w14:paraId="4F8F8355">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203C82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VAD &amp; Audio Front-End</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13BAC2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Silero-VAD v4 + RNNoise + WebRTC AEC</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822993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~2 MB</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8B8CDE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&lt;10 ms/frame (T)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ABD466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Language-independent VAD; software noise suppression; 1-mic prototype baseline.</w:t>
            </w:r>
          </w:p>
        </w:tc>
      </w:tr>
      <w:tr w14:paraId="0B95641E">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21E0EA3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Multilingual ASR</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A5C3F9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whisper-small multilingual (INT8 PTQ via Qualcomm AI Hub)</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665B942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~130 MB (E)</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6BDE9A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&lt;450 ms / 500 ms chunk (T)</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778357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Single model handles VI+EN code-switching; HTP encoder + CPU-managed decoder. Zero-shot baseline: WER 75.8% (M) on VietMed test split, indicating medical domain mismatch. Phase 3 adaptation plan: (1) error taxonomy on zero-shot failures; (2) LoRA fine-tune on VietMed + ViMedCSS labeled splits; (3) PhoWhisper checkpoint bake-off on frozen test set; (4) contextual biasing for drug/unit entities; (5) deployment candidate selected by WER + HTP latency co-optimization. Phase 3 target: WER &lt;15% (T) — to be validated on held-out set.</w:t>
            </w:r>
          </w:p>
        </w:tc>
      </w:tr>
      <w:tr w14:paraId="33ECE854">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4240E1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Medical Safety &amp; Retrieval</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0FAFE0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Post-ASR dictionary correction + SQLite phrase DB (300+ pairs) + Entity extraction/reinjection + Safety validator</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7BD7B5D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&lt;20 MB</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C2974C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&lt;30 ms retrieval (T); &lt;15 ms validation (T)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66E441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Terminology preservation layer; clinician-verified emergency phrases; number/unit/drug/negation safety checks.</w:t>
            </w:r>
          </w:p>
        </w:tc>
      </w:tr>
      <w:tr w14:paraId="73F684FF">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659CB6A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Medical NMT</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D1780E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NLLB-200-distilled-600M (INT8 PTQ)</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4D1601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~1.0–1.1 GB (INT8 E)</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ACB9C4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&lt;200 ms / 15 tokens (T)</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1D87670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Deterministic seq2seq; FP16 checkpoint 2.13 GB, INT8 PTQ ~1.1 GB; lower hallucination risk than LLM; Phase 3 fine-tune on MedEV+FutureBeeAI (conditional on E4 baseline).</w:t>
            </w:r>
          </w:p>
        </w:tc>
      </w:tr>
      <w:tr w14:paraId="006254C9">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12EDFF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TTS (VI + EN)</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F5EF4D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Piper vi_VN-vais1000-medium + en_US-ljspeech-high</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833113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~120 MB combined (E)</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6CE9A6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&lt;250 ms first audio (T)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86F1DB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CPU execution — sufficient at ~200 ms; avoids NPU integration overhead.</w:t>
            </w:r>
          </w:p>
        </w:tc>
      </w:tr>
    </w:tbl>
    <w:p w14:paraId="30C255E2">
      <w:pPr>
        <w:spacing w:after="60" w:line="360" w:lineRule="auto"/>
        <w:jc w:val="both"/>
        <w:rPr>
          <w:rFonts w:hint="default" w:ascii="Times New Roman" w:hAnsi="Times New Roman" w:eastAsia="Arial" w:cs="Times New Roman"/>
          <w:sz w:val="21"/>
          <w:szCs w:val="22"/>
        </w:rPr>
      </w:pPr>
    </w:p>
    <w:p w14:paraId="000000D5">
      <w:pPr>
        <w:spacing w:after="60" w:line="360" w:lineRule="auto"/>
        <w:jc w:val="both"/>
        <w:rPr>
          <w:rFonts w:hint="default" w:ascii="Times New Roman" w:hAnsi="Times New Roman" w:eastAsia="Arial" w:cs="Times New Roman"/>
          <w:b/>
          <w:bCs/>
          <w:color w:val="0A2357"/>
          <w:sz w:val="36"/>
          <w:szCs w:val="36"/>
        </w:rPr>
      </w:pPr>
      <w:r>
        <w:rPr>
          <w:rFonts w:hint="default" w:ascii="Times New Roman" w:hAnsi="Times New Roman" w:eastAsia="Arial" w:cs="Times New Roman"/>
          <w:sz w:val="21"/>
          <w:szCs w:val="22"/>
        </w:rPr>
        <w:t>ASR Development Gate (WER 75.8% → &lt;15% target): Phase 3 will conduct (1) error taxonomy to classify failure modes by category; (2) LoRA fine-tuning on VietMed + ViMedCSS labeled medical audio; (3) PhoWhisper bake-off on a frozen held-out test set; (4) contextual drug/unit biasing for entity-heavy phrases; (5) final model selected by joint WER × HTP latency constraint. The &lt;15% WER target (T) will be revised based on held-out fine-tuning results. Literature on comparable Vietnamese domain-adapted ASR suggests meaningful WER reduction is achievable (L), but no team fine-tuning result is available prior to Phase 3.</w:t>
      </w:r>
    </w:p>
    <w:p w14:paraId="4A408A2E">
      <w:pPr>
        <w:keepNext/>
        <w:spacing w:before="8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color w:val="00A9E0"/>
          <w:sz w:val="28"/>
          <w:szCs w:val="22"/>
        </w:rPr>
        <w:t>4.3  On-Device Optimisation &amp; Memory Management</w:t>
      </w:r>
    </w:p>
    <w:p w14:paraId="75420A3F">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ASR and NMT are targeted for INT8 post-training quantisation through Qualcomm AI Hub/QNN and are pre-compiled to DLC binaries, avoiding runtime compilation and reducing model storage and activation memory. Audio is processed in approximately 500 ms streaming chunks through a bounded ring buffer; encoder outputs, entity maps, and translation buffers are reused between turns. Language packs and TTS voices are loaded only for the active language pair, while infrequently used assets remain memory-mapped on eMMC. The projected peak RAM ceiling is approximately 1.8 GB (E): about 1.0-1.1 GB for NLLB INT8 weights, about 130 MB for Whisper-small INT8 weights, about 120 MB for TTS, and the remainder for activations, runtime, UI, and safety databases. This remains below the 8 GB platform capacity and will be verified by Phase 3 P50/P90 memory profiling.</w:t>
      </w:r>
    </w:p>
    <w:p w14:paraId="5ACA765C">
      <w:pPr>
        <w:keepNext/>
        <w:spacing w:before="8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color w:val="00A9E0"/>
          <w:sz w:val="28"/>
          <w:szCs w:val="22"/>
        </w:rPr>
        <w:t>4.4  Robustness &amp; Edge Case Handling</w:t>
      </w:r>
    </w:p>
    <w:p w14:paraId="2DF23C57">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Acoustic robustness uses WebRTC AEC, RNNoise suppression, automatic gain control, and Silero VAD. The one-microphone prototype is tested at 65-75 dB with thermal and noise profiling; a two-microphone upgrade is the contingency if the acceptance threshold is not met. VAD timeouts suppress silence, bounded overlapping chunks reduce rapid-speech truncation, and push-to-talk limits unintended multi-speaker capture.</w:t>
      </w:r>
    </w:p>
    <w:p w14:paraId="5416038A">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Linguistic robustness comes from multilingual ASR for Vietnamese-English code-switching, Phase 3 evaluation across Northern, Central, and Southern accents, contextual biasing for drug/unit entities, and frozen held-out testing after LoRA adaptation. Out-of-vocabulary or low-confidence terms remain visible in the bilingual transcript and are flagged rather than silently normalised. Entity loss, changed negation, invalid dosage formats, or failed TTS loading triggers a fail-safe state: block automatic playback, request repetition or human confirmation, and retain text output for review.</w:t>
      </w:r>
    </w:p>
    <w:p w14:paraId="000000D6">
      <w:pPr>
        <w:keepNext/>
        <w:pBdr>
          <w:bottom w:val="single" w:color="00B4D8" w:sz="6" w:space="1"/>
        </w:pBdr>
        <w:spacing w:before="120" w:after="10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0B2A5B"/>
          <w:sz w:val="36"/>
          <w:szCs w:val="36"/>
          <w:rtl w:val="0"/>
        </w:rPr>
        <w:t>5.  Hardware &amp; Device Concept</w:t>
      </w:r>
    </w:p>
    <w:p w14:paraId="000000DA">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5.1  Platform Selection &amp; Justification</w:t>
      </w:r>
    </w:p>
    <w:tbl>
      <w:tblPr>
        <w:tblStyle w:val="23"/>
        <w:tblW w:w="10255"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2445"/>
        <w:gridCol w:w="2550"/>
        <w:gridCol w:w="2550"/>
        <w:gridCol w:w="2709"/>
      </w:tblGrid>
      <w:tr w14:paraId="02E095AB">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DE">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Criteria</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1A3C840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Qualcomm QCS6490 (RB3 Gen 2)</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423B852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NVIDIA Jetson Orin Nano 8G</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5751A8F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Selected?</w:t>
            </w:r>
          </w:p>
        </w:tc>
      </w:tr>
      <w:tr w14:paraId="7518965E">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83B593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NPU Performance (TOPS)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7144C4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12 dense TOPS (official Qualcomm spec) (Hexagon HTP)</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AF378C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20–40 TOPS (Ampere GPU)</w:t>
            </w:r>
          </w:p>
        </w:tc>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3B2235E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 QCS6490</w:t>
            </w:r>
          </w:p>
        </w:tc>
      </w:tr>
      <w:tr w14:paraId="179D8735">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165AB4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Power Consumption (TDP)</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C70B40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5.0–7.0 W peak — optimal for wearable</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248E038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10.0–15.0 W — too high for wearable</w:t>
            </w:r>
          </w:p>
        </w:tc>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10BF1B6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 QCS6490</w:t>
            </w:r>
          </w:p>
        </w:tc>
      </w:tr>
      <w:tr w14:paraId="311427FA">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F51B33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RAM / Storage Support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32019E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8 GB LPDDR4x + 32 GB eMMC</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1FB8D8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8 GB LPDDR5 + NVMe</w:t>
            </w:r>
          </w:p>
        </w:tc>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072DF58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 QCS6490</w:t>
            </w:r>
          </w:p>
        </w:tc>
      </w:tr>
      <w:tr w14:paraId="26D7C1F2">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69E2ED8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AI SDK / Toolchain</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B8F555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Qualcomm QNN SDK + AI Hub (official DLC export)</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CA6A94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NVIDIA TensorRT (no AI Hub)</w:t>
            </w:r>
          </w:p>
        </w:tc>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4E2EF67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 QCS6490</w:t>
            </w:r>
          </w:p>
        </w:tc>
      </w:tr>
      <w:tr w14:paraId="2FC37C8E">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9DEB9C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Form Factor Suitability</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70418CB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Compact SoC — wearable badge target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2BD6E6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Bulky heatsink (&gt;350 g) — unsuitable</w:t>
            </w:r>
          </w:p>
        </w:tc>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2E60899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 QCS6490</w:t>
            </w:r>
          </w:p>
        </w:tc>
      </w:tr>
    </w:tbl>
    <w:p w14:paraId="676D78F9">
      <w:pPr>
        <w:spacing w:before="0" w:after="60" w:line="360" w:lineRule="auto"/>
        <w:rPr>
          <w:rFonts w:hint="default" w:ascii="Times New Roman" w:hAnsi="Times New Roman" w:eastAsia="Arial" w:cs="Times New Roman"/>
          <w:b w:val="0"/>
          <w:color w:val="243447"/>
          <w:sz w:val="21"/>
          <w:szCs w:val="22"/>
        </w:rPr>
      </w:pPr>
    </w:p>
    <w:p w14:paraId="541C70EA">
      <w:pPr>
        <w:spacing w:before="0" w:after="60" w:line="360" w:lineRule="auto"/>
        <w:jc w:val="both"/>
        <w:rPr>
          <w:rFonts w:hint="default" w:ascii="Times New Roman" w:hAnsi="Times New Roman" w:cs="Times New Roman"/>
          <w:sz w:val="21"/>
          <w:szCs w:val="22"/>
        </w:rPr>
      </w:pPr>
      <w:r>
        <w:rPr>
          <w:rFonts w:hint="default" w:ascii="Times New Roman" w:hAnsi="Times New Roman" w:eastAsia="Arial" w:cs="Times New Roman"/>
          <w:b w:val="0"/>
          <w:color w:val="243447"/>
          <w:sz w:val="21"/>
          <w:szCs w:val="22"/>
        </w:rPr>
        <w:t>QCS6490 is selected over Jetson Orin Nano because its approximately 12 dense TOPS Hexagon HTP, 5-7 W peak envelope, compact SoC packaging, and direct QNN/Qualcomm AI Hub toolchain better match a wearable clinical device. The concept is a push-to-talk badge or lanyard with a provisional development envelope of no more than 100 x 70 x 25 mm and less than 300 g; a custom-PCB production target is below 200 g. The enclosure target is IP54-equivalent splash/dust resistance with a sanitizable surface and optional Bluetooth headset. Dimensions, weight, thermal behaviour, and environmental rating are engineering targets (T), not certified results, and will be frozen after Phase 3 mechanical and thermal validation.</w:t>
      </w:r>
    </w:p>
    <w:p w14:paraId="000000F9">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5.2  Key Hardware Components &amp; Power Budget</w:t>
      </w:r>
    </w:p>
    <w:tbl>
      <w:tblPr>
        <w:tblStyle w:val="24"/>
        <w:tblW w:w="10255"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2445"/>
        <w:gridCol w:w="2550"/>
        <w:gridCol w:w="2550"/>
        <w:gridCol w:w="2709"/>
      </w:tblGrid>
      <w:tr w14:paraId="46BA59AD">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FB">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Component</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FC">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Specification</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FD">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Peak Power</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0FE">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Notes</w:t>
            </w:r>
          </w:p>
        </w:tc>
      </w:tr>
      <w:tr w14:paraId="2840BBD7">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4FD313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SoC / Compute Core</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1C9344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Qualcomm QCS6490 (Kryo CPU + Adreno GPU + Hexagon HTP NPU)</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7DFEBA9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5.0–7.0 W</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06A9E9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Official Qualcomm TDP; hybrid CPU/DSP/HTP inference. Typical AI workload ~3.5–5.0 W.</w:t>
            </w:r>
          </w:p>
        </w:tc>
      </w:tr>
      <w:tr w14:paraId="04DC6709">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6336555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Microphone</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4F7AF4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 MEMS Omnidirectional (16 kHz, ≥64 dB SNR)</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4AD6F7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0.02 W</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2199606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Prototype baseline; 2-mic upgrade if noise test fails threshold.</w:t>
            </w:r>
          </w:p>
        </w:tc>
      </w:tr>
      <w:tr w14:paraId="5961CF6F">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E29454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Speaker / Audio Out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9B28A1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Class-D Smart Amp + 1.5 W Speaker / BT 5.3 headset option</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5255E7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0.65 W</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E2343D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TTS voice output; BLE headset alternative.</w:t>
            </w:r>
          </w:p>
        </w:tc>
      </w:tr>
      <w:tr w14:paraId="213E205A">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21E4672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Battery</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BBC34D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3,500 mAh 3.8 V Li-Po</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6364973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168A914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~5–7 h depending on clinical duty cycle (E: duty-cycle estimate; pending Phase 3 prototype measurement).</w:t>
            </w:r>
          </w:p>
        </w:tc>
      </w:tr>
      <w:tr w14:paraId="7D0B2E50">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58C22D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Storage</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9A2023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32 GB eMMC (64 GB optional)</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5ED939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0.20 W</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71D949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OS + all pre-compiled DLC model binaries + phrase database.</w:t>
            </w:r>
          </w:p>
        </w:tc>
      </w:tr>
      <w:tr w14:paraId="442E8044">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5E9D99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Display (verification)</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0CCD54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2.1-inch E-paper or OLED</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F5BC96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0.15 W</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99F7DD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Bilingual transcript + safety status indicator.</w:t>
            </w:r>
          </w:p>
        </w:tc>
      </w:tr>
      <w:tr w14:paraId="6C2F560C">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F318C9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Total System Budget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B80D17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All modules active</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76E735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~7.5 W peak</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F4C5EB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Avg ~2.2 W at 20% inference duty cycle. Standby ~1.2 W. See duty-cycle model below.</w:t>
            </w:r>
          </w:p>
        </w:tc>
      </w:tr>
    </w:tbl>
    <w:p w14:paraId="377BF781">
      <w:pPr>
        <w:pStyle w:val="2"/>
        <w:keepNext w:val="0"/>
        <w:keepLines w:val="0"/>
        <w:pBdr>
          <w:bottom w:val="single" w:color="2E75B6" w:sz="4" w:space="4"/>
        </w:pBdr>
        <w:spacing w:before="0" w:after="60" w:line="360" w:lineRule="auto"/>
        <w:jc w:val="both"/>
        <w:rPr>
          <w:rFonts w:hint="default" w:ascii="Times New Roman" w:hAnsi="Times New Roman" w:eastAsia="Arial" w:cs="Times New Roman"/>
          <w:sz w:val="21"/>
          <w:szCs w:val="36"/>
          <w:rtl w:val="0"/>
        </w:rPr>
      </w:pPr>
      <w:bookmarkStart w:id="0" w:name="_px54hwypsxgp" w:colFirst="0" w:colLast="0"/>
      <w:bookmarkEnd w:id="0"/>
    </w:p>
    <w:p w14:paraId="0000011C">
      <w:pPr>
        <w:pStyle w:val="2"/>
        <w:keepNext w:val="0"/>
        <w:keepLines w:val="0"/>
        <w:pBdr>
          <w:bottom w:val="single" w:color="2E75B6" w:sz="4" w:space="4"/>
        </w:pBdr>
        <w:spacing w:before="0" w:after="60" w:line="360" w:lineRule="auto"/>
        <w:jc w:val="both"/>
        <w:rPr>
          <w:rFonts w:hint="default" w:ascii="Times New Roman" w:hAnsi="Times New Roman" w:eastAsia="Arial" w:cs="Times New Roman"/>
          <w:color w:val="1F3864"/>
          <w:sz w:val="36"/>
          <w:szCs w:val="36"/>
        </w:rPr>
      </w:pPr>
      <w:r>
        <w:rPr>
          <w:rFonts w:hint="default" w:ascii="Times New Roman" w:hAnsi="Times New Roman" w:eastAsia="Arial" w:cs="Times New Roman"/>
          <w:sz w:val="21"/>
          <w:szCs w:val="36"/>
          <w:rtl w:val="0"/>
        </w:rPr>
        <w:t>Duty-Cycle Power Model: Standby/PTT wait (60% duty) = 1.2 W; Audio capture + VAD (15%) = 2.5 W; Inference burst — ASR+NMT (20%) = 5.0 W; TTS playback (5%) = 2.8 W. Weighted average = 2.24 W. Battery runtime: 13.3 Wh × 85% efficiency ÷ 2.24 W = ~5.0 h (heavy continuous use); ÷ 1.80 W = ~6.3 h (typical clinical shift with natural pauses). All power figures are engineering estimates (E) pending prototype measurement. These figures are consistent with the ~5–7 h duty-cycle range stated in the hardware specifications (E).</w:t>
      </w:r>
    </w:p>
    <w:p w14:paraId="0000011F">
      <w:pPr>
        <w:pStyle w:val="2"/>
        <w:keepNext/>
        <w:keepLines w:val="0"/>
        <w:pBdr>
          <w:bottom w:val="single" w:color="2E75B6" w:sz="4" w:space="4"/>
        </w:pBdr>
        <w:spacing w:before="120" w:after="100" w:line="360" w:lineRule="auto"/>
        <w:rPr>
          <w:rFonts w:hint="default" w:ascii="Times New Roman" w:hAnsi="Times New Roman" w:eastAsia="Arial" w:cs="Times New Roman"/>
          <w:i/>
          <w:iCs/>
          <w:color w:val="00B4D8"/>
          <w:sz w:val="36"/>
          <w:szCs w:val="36"/>
        </w:rPr>
      </w:pPr>
      <w:bookmarkStart w:id="1" w:name="_554ptgnbg8bl" w:colFirst="0" w:colLast="0"/>
      <w:bookmarkEnd w:id="1"/>
      <w:r>
        <w:rPr>
          <w:rFonts w:hint="default" w:ascii="Times New Roman" w:hAnsi="Times New Roman" w:eastAsia="Arial" w:cs="Times New Roman"/>
          <w:b/>
          <w:color w:val="0B2A5B"/>
          <w:sz w:val="36"/>
          <w:szCs w:val="36"/>
          <w:rtl w:val="0"/>
        </w:rPr>
        <w:t>6.  System Architecture &amp; Integration</w:t>
      </w:r>
    </w:p>
    <w:p w14:paraId="00000121">
      <w:pPr>
        <w:pStyle w:val="3"/>
        <w:keepNext/>
        <w:keepLines w:val="0"/>
        <w:spacing w:before="80" w:after="60" w:line="360" w:lineRule="auto"/>
        <w:rPr>
          <w:rFonts w:hint="default" w:ascii="Times New Roman" w:hAnsi="Times New Roman" w:eastAsia="Arial" w:cs="Times New Roman"/>
          <w:color w:val="00B4D8"/>
          <w:sz w:val="28"/>
          <w:szCs w:val="28"/>
        </w:rPr>
      </w:pPr>
      <w:bookmarkStart w:id="2" w:name="_jmg4r5r4c3vq" w:colFirst="0" w:colLast="0"/>
      <w:bookmarkEnd w:id="2"/>
      <w:r>
        <w:rPr>
          <w:rFonts w:hint="default" w:ascii="Times New Roman" w:hAnsi="Times New Roman" w:eastAsia="Arial" w:cs="Times New Roman"/>
          <w:b/>
          <w:color w:val="00A9E0"/>
          <w:sz w:val="28"/>
          <w:szCs w:val="28"/>
          <w:rtl w:val="0"/>
        </w:rPr>
        <w:t>6.1  Software Stack</w:t>
      </w:r>
    </w:p>
    <w:tbl>
      <w:tblPr>
        <w:tblStyle w:val="25"/>
        <w:tblW w:w="10245"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80" w:type="dxa"/>
          <w:left w:w="160" w:type="dxa"/>
          <w:bottom w:w="80" w:type="dxa"/>
          <w:right w:w="160" w:type="dxa"/>
        </w:tblCellMar>
      </w:tblPr>
      <w:tblGrid>
        <w:gridCol w:w="3120"/>
        <w:gridCol w:w="3562"/>
        <w:gridCol w:w="3562"/>
      </w:tblGrid>
      <w:tr w14:paraId="36F4DF6A">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80" w:type="dxa"/>
            <w:left w:w="160" w:type="dxa"/>
            <w:bottom w:w="80" w:type="dxa"/>
            <w:right w:w="160" w:type="dxa"/>
          </w:tblCellMar>
        </w:tblPrEx>
        <w:trPr>
          <w:tblHeader/>
          <w:jc w:val="center"/>
        </w:trPr>
        <w:tc>
          <w:tcPr>
            <w:tcBorders>
              <w:top w:val="single" w:color="BBBBBB" w:sz="4" w:space="0"/>
              <w:left w:val="single" w:color="BBBBBB" w:sz="4" w:space="0"/>
              <w:bottom w:val="single" w:color="BBBBBB" w:sz="4" w:space="0"/>
              <w:right w:val="single" w:color="BBBBBB" w:sz="4" w:space="0"/>
            </w:tcBorders>
            <w:shd w:val="clear" w:color="auto" w:fill="0B2A5B"/>
            <w:tcMar>
              <w:top w:w="60" w:type="dxa"/>
              <w:left w:w="90" w:type="dxa"/>
              <w:bottom w:w="60" w:type="dxa"/>
              <w:right w:w="90" w:type="dxa"/>
            </w:tcMar>
            <w:vAlign w:val="center"/>
          </w:tcPr>
          <w:p w14:paraId="00000123">
            <w:pPr>
              <w:spacing w:before="0" w:after="0" w:line="360" w:lineRule="auto"/>
              <w:jc w:val="center"/>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Layer</w:t>
            </w:r>
          </w:p>
        </w:tc>
        <w:tc>
          <w:tcPr>
            <w:tcBorders>
              <w:top w:val="single" w:color="BBBBBB" w:sz="4" w:space="0"/>
              <w:left w:val="single" w:color="BBBBBB" w:sz="4" w:space="0"/>
              <w:bottom w:val="single" w:color="BBBBBB" w:sz="4" w:space="0"/>
              <w:right w:val="single" w:color="BBBBBB" w:sz="4" w:space="0"/>
            </w:tcBorders>
            <w:shd w:val="clear" w:color="auto" w:fill="0B2A5B"/>
            <w:tcMar>
              <w:top w:w="60" w:type="dxa"/>
              <w:left w:w="90" w:type="dxa"/>
              <w:bottom w:w="60" w:type="dxa"/>
              <w:right w:w="90" w:type="dxa"/>
            </w:tcMar>
            <w:vAlign w:val="center"/>
          </w:tcPr>
          <w:p w14:paraId="00000124">
            <w:pPr>
              <w:spacing w:before="0" w:after="0" w:line="360" w:lineRule="auto"/>
              <w:jc w:val="center"/>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Component / Framework</w:t>
            </w:r>
          </w:p>
        </w:tc>
        <w:tc>
          <w:tcPr>
            <w:tcBorders>
              <w:top w:val="single" w:color="BBBBBB" w:sz="4" w:space="0"/>
              <w:left w:val="single" w:color="BBBBBB" w:sz="4" w:space="0"/>
              <w:bottom w:val="single" w:color="BBBBBB" w:sz="4" w:space="0"/>
              <w:right w:val="single" w:color="BBBBBB" w:sz="4" w:space="0"/>
            </w:tcBorders>
            <w:shd w:val="clear" w:color="auto" w:fill="0B2A5B"/>
            <w:tcMar>
              <w:top w:w="60" w:type="dxa"/>
              <w:left w:w="90" w:type="dxa"/>
              <w:bottom w:w="60" w:type="dxa"/>
              <w:right w:w="90" w:type="dxa"/>
            </w:tcMar>
            <w:vAlign w:val="center"/>
          </w:tcPr>
          <w:p w14:paraId="00000125">
            <w:pPr>
              <w:spacing w:before="0" w:after="0" w:line="360" w:lineRule="auto"/>
              <w:jc w:val="center"/>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Role</w:t>
            </w:r>
          </w:p>
        </w:tc>
      </w:tr>
      <w:tr w14:paraId="16C7BDC1">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80" w:type="dxa"/>
            <w:left w:w="160" w:type="dxa"/>
            <w:bottom w:w="80" w:type="dxa"/>
            <w:right w:w="160" w:type="dxa"/>
          </w:tblCellMar>
        </w:tblPrEx>
        <w:trPr>
          <w:trHeight w:val="379" w:hRule="atLeast"/>
          <w:jc w:val="center"/>
        </w:trPr>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228197F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OS</w:t>
            </w:r>
          </w:p>
        </w:tc>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3875438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Qualcomm Reference BSP Yocto Linux (Kernel 6.1 LTS + RT patches)</w:t>
            </w:r>
          </w:p>
        </w:tc>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1EC62C2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Deterministic low-latency audio scheduling and power management.</w:t>
            </w:r>
          </w:p>
        </w:tc>
      </w:tr>
      <w:tr w14:paraId="10516380">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80" w:type="dxa"/>
            <w:left w:w="160" w:type="dxa"/>
            <w:bottom w:w="80" w:type="dxa"/>
            <w:right w:w="160" w:type="dxa"/>
          </w:tblCellMar>
        </w:tblPrEx>
        <w:trPr>
          <w:trHeight w:val="379" w:hRule="atLeast"/>
          <w:jc w:val="center"/>
        </w:trPr>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04A87FB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AI Runtime</w:t>
            </w:r>
          </w:p>
        </w:tc>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548B01A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Qualcomm Neural Processing SDK (QNN) + ONNX Runtime ARM64</w:t>
            </w:r>
          </w:p>
        </w:tc>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7C76B53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INT8 ASR and NMT on Hexagon HTP; ONNX Runtime ARM64 as CPU fallback.</w:t>
            </w:r>
          </w:p>
        </w:tc>
      </w:tr>
      <w:tr w14:paraId="25A987AF">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80" w:type="dxa"/>
            <w:left w:w="160" w:type="dxa"/>
            <w:bottom w:w="80" w:type="dxa"/>
            <w:right w:w="160" w:type="dxa"/>
          </w:tblCellMar>
        </w:tblPrEx>
        <w:trPr>
          <w:trHeight w:val="379" w:hRule="atLeast"/>
          <w:jc w:val="center"/>
        </w:trPr>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6B923A4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Audio Processing</w:t>
            </w:r>
          </w:p>
        </w:tc>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478D9BE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TinyALSA + WebRTC AudioProcessing + RNNoise</w:t>
            </w:r>
          </w:p>
        </w:tc>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4424BAA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Real-time AEC, noise suppression, streaming VAD audio capture.</w:t>
            </w:r>
          </w:p>
        </w:tc>
      </w:tr>
      <w:tr w14:paraId="516FCCD7">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80" w:type="dxa"/>
            <w:left w:w="160" w:type="dxa"/>
            <w:bottom w:w="80" w:type="dxa"/>
            <w:right w:w="160" w:type="dxa"/>
          </w:tblCellMar>
        </w:tblPrEx>
        <w:trPr>
          <w:trHeight w:val="379" w:hRule="atLeast"/>
          <w:jc w:val="center"/>
        </w:trPr>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2B90436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Safety &amp; Retrieval Layer</w:t>
            </w:r>
          </w:p>
        </w:tc>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2B9BF71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Medical entity extractor + SQLite phrase DB + Safety validator</w:t>
            </w:r>
          </w:p>
        </w:tc>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62C3810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Terminology extraction/reinjection, emergency phrase lookup, output safety checks.</w:t>
            </w:r>
          </w:p>
        </w:tc>
      </w:tr>
      <w:tr w14:paraId="11E569D8">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80" w:type="dxa"/>
            <w:left w:w="160" w:type="dxa"/>
            <w:bottom w:w="80" w:type="dxa"/>
            <w:right w:w="160" w:type="dxa"/>
          </w:tblCellMar>
        </w:tblPrEx>
        <w:trPr>
          <w:trHeight w:val="379" w:hRule="atLeast"/>
          <w:jc w:val="center"/>
        </w:trPr>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084D77A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Model Serving</w:t>
            </w:r>
          </w:p>
        </w:tc>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335EC24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QNN DLC pre-compiled binaries + streaming audio ring buffer</w:t>
            </w:r>
          </w:p>
        </w:tc>
        <w:tc>
          <w:tcPr>
            <w:tcBorders>
              <w:top w:val="single" w:color="BBBBBB" w:sz="4" w:space="0"/>
              <w:left w:val="single" w:color="BBBBBB" w:sz="4" w:space="0"/>
              <w:bottom w:val="single" w:color="BBBBBB" w:sz="4" w:space="0"/>
              <w:right w:val="single" w:color="BBBBBB" w:sz="4" w:space="0"/>
            </w:tcBorders>
            <w:shd w:val="clear" w:color="auto" w:fill="FFFFFF"/>
            <w:tcMar>
              <w:top w:w="60" w:type="dxa"/>
              <w:left w:w="90" w:type="dxa"/>
              <w:bottom w:w="60" w:type="dxa"/>
              <w:right w:w="90" w:type="dxa"/>
            </w:tcMar>
            <w:vAlign w:val="center"/>
          </w:tcPr>
          <w:p w14:paraId="1DE8795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Zero runtime compilation; predictable latency; phrase retrieval &lt;30 ms.</w:t>
            </w:r>
          </w:p>
        </w:tc>
      </w:tr>
      <w:tr w14:paraId="4DE07F63">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80" w:type="dxa"/>
            <w:left w:w="160" w:type="dxa"/>
            <w:bottom w:w="80" w:type="dxa"/>
            <w:right w:w="160" w:type="dxa"/>
          </w:tblCellMar>
        </w:tblPrEx>
        <w:trPr>
          <w:trHeight w:val="379" w:hRule="atLeast"/>
          <w:jc w:val="center"/>
        </w:trPr>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6773BCF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App Layer</w:t>
            </w:r>
          </w:p>
        </w:tc>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37ACA39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C++20 Core Orchestrator + Qt/QML UI</w:t>
            </w:r>
          </w:p>
        </w:tc>
        <w:tc>
          <w:tcPr>
            <w:tcBorders>
              <w:top w:val="single" w:color="BBBBBB" w:sz="4" w:space="0"/>
              <w:left w:val="single" w:color="BBBBBB" w:sz="4" w:space="0"/>
              <w:bottom w:val="single" w:color="BBBBBB" w:sz="4" w:space="0"/>
              <w:right w:val="single" w:color="BBBBBB" w:sz="4" w:space="0"/>
            </w:tcBorders>
            <w:shd w:val="clear" w:color="auto" w:fill="F1F4F7"/>
            <w:tcMar>
              <w:top w:w="60" w:type="dxa"/>
              <w:left w:w="90" w:type="dxa"/>
              <w:bottom w:w="60" w:type="dxa"/>
              <w:right w:w="90" w:type="dxa"/>
            </w:tcMar>
            <w:vAlign w:val="center"/>
          </w:tcPr>
          <w:p w14:paraId="422830A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Event routing, PTT button, bilingual display, safety status indicators.</w:t>
            </w:r>
          </w:p>
        </w:tc>
      </w:tr>
    </w:tbl>
    <w:p w14:paraId="00000136">
      <w:pPr>
        <w:pStyle w:val="3"/>
        <w:keepNext/>
        <w:keepLines w:val="0"/>
        <w:spacing w:before="80" w:after="60" w:line="360" w:lineRule="auto"/>
        <w:rPr>
          <w:rFonts w:hint="default" w:ascii="Times New Roman" w:hAnsi="Times New Roman" w:eastAsia="Arial" w:cs="Times New Roman"/>
          <w:color w:val="00B4D8"/>
          <w:sz w:val="28"/>
          <w:szCs w:val="28"/>
        </w:rPr>
      </w:pPr>
      <w:bookmarkStart w:id="3" w:name="_w27t730p9yd" w:colFirst="0" w:colLast="0"/>
      <w:bookmarkEnd w:id="3"/>
      <w:r>
        <w:rPr>
          <w:rFonts w:hint="default" w:ascii="Times New Roman" w:hAnsi="Times New Roman" w:eastAsia="Arial" w:cs="Times New Roman"/>
          <w:b/>
          <w:color w:val="00A9E0"/>
          <w:sz w:val="28"/>
          <w:szCs w:val="28"/>
          <w:rtl w:val="0"/>
        </w:rPr>
        <w:t>6.2  Architecture Diagram</w:t>
      </w:r>
    </w:p>
    <w:p w14:paraId="1C05B59A">
      <w:pPr>
        <w:spacing w:before="40" w:after="40" w:line="360" w:lineRule="auto"/>
        <w:jc w:val="center"/>
        <w:rPr>
          <w:rFonts w:hint="default" w:ascii="Times New Roman" w:hAnsi="Times New Roman" w:cs="Times New Roman"/>
          <w:sz w:val="21"/>
          <w:szCs w:val="22"/>
        </w:rPr>
      </w:pPr>
      <w:r>
        <w:rPr>
          <w:rFonts w:hint="default" w:ascii="Times New Roman" w:hAnsi="Times New Roman" w:cs="Times New Roman"/>
          <w:sz w:val="21"/>
          <w:szCs w:val="22"/>
        </w:rPr>
        <w:drawing>
          <wp:inline distT="0" distB="0" distL="114300" distR="114300">
            <wp:extent cx="5518785" cy="3679190"/>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18785" cy="3679190"/>
                    </a:xfrm>
                    <a:prstGeom prst="rect">
                      <a:avLst/>
                    </a:prstGeom>
                  </pic:spPr>
                </pic:pic>
              </a:graphicData>
            </a:graphic>
          </wp:inline>
        </w:drawing>
      </w:r>
    </w:p>
    <w:p w14:paraId="2DE02B3D">
      <w:pPr>
        <w:spacing w:before="0" w:after="60" w:line="360" w:lineRule="auto"/>
        <w:jc w:val="center"/>
        <w:rPr>
          <w:rFonts w:hint="default" w:ascii="Times New Roman" w:hAnsi="Times New Roman" w:cs="Times New Roman"/>
          <w:sz w:val="21"/>
          <w:szCs w:val="22"/>
        </w:rPr>
      </w:pPr>
      <w:r>
        <w:rPr>
          <w:rFonts w:hint="default" w:ascii="Times New Roman" w:hAnsi="Times New Roman" w:eastAsia="Arial" w:cs="Times New Roman"/>
          <w:i/>
          <w:color w:val="53657A"/>
          <w:sz w:val="21"/>
          <w:szCs w:val="22"/>
        </w:rPr>
        <w:t>Figure 1. NOVOICE offline safety-aware speech translation pipeline.</w:t>
      </w:r>
    </w:p>
    <w:p w14:paraId="0000013E">
      <w:pPr>
        <w:pStyle w:val="3"/>
        <w:keepNext/>
        <w:keepLines w:val="0"/>
        <w:spacing w:before="80" w:after="60" w:line="360" w:lineRule="auto"/>
        <w:rPr>
          <w:rFonts w:hint="default" w:ascii="Times New Roman" w:hAnsi="Times New Roman" w:eastAsia="Arial" w:cs="Times New Roman"/>
          <w:b w:val="0"/>
          <w:bCs w:val="0"/>
          <w:i/>
          <w:iCs/>
          <w:color w:val="00B4D8"/>
          <w:sz w:val="22"/>
          <w:szCs w:val="22"/>
        </w:rPr>
      </w:pPr>
      <w:bookmarkStart w:id="4" w:name="_iylzz5xvy9f4" w:colFirst="0" w:colLast="0"/>
      <w:r>
        <w:rPr>
          <w:rFonts w:hint="default" w:ascii="Times New Roman" w:hAnsi="Times New Roman" w:eastAsia="Arial" w:cs="Times New Roman"/>
          <w:b/>
          <w:color w:val="00A9E0"/>
          <w:sz w:val="28"/>
          <w:szCs w:val="28"/>
          <w:rtl w:val="0"/>
        </w:rPr>
        <w:t xml:space="preserve">6.3  Offline-First Design Principles </w:t>
      </w:r>
      <w:r>
        <w:rPr>
          <w:rFonts w:hint="default" w:ascii="Times New Roman" w:hAnsi="Times New Roman" w:eastAsia="Arial" w:cs="Times New Roman"/>
          <w:b/>
          <w:bCs w:val="0"/>
          <w:i/>
          <w:iCs/>
          <w:color w:val="00A9E0"/>
          <w:sz w:val="28"/>
          <w:szCs w:val="22"/>
          <w:rtl w:val="0"/>
        </w:rPr>
        <w:t>(if any)</w:t>
      </w:r>
    </w:p>
    <w:bookmarkEnd w:id="4"/>
    <w:p w14:paraId="7BCF3C86">
      <w:pPr>
        <w:pStyle w:val="3"/>
        <w:keepNext w:val="0"/>
        <w:keepLines w:val="0"/>
        <w:spacing w:before="0" w:after="60" w:line="360" w:lineRule="auto"/>
        <w:jc w:val="both"/>
        <w:rPr>
          <w:rFonts w:hint="default" w:ascii="Times New Roman" w:hAnsi="Times New Roman" w:eastAsia="Arial" w:cs="Times New Roman"/>
          <w:b w:val="0"/>
          <w:bCs w:val="0"/>
          <w:i/>
          <w:iCs/>
          <w:color w:val="00B4D8"/>
          <w:sz w:val="22"/>
          <w:szCs w:val="22"/>
        </w:rPr>
      </w:pPr>
      <w:r>
        <w:rPr>
          <w:rFonts w:hint="default" w:ascii="Times New Roman" w:hAnsi="Times New Roman" w:eastAsia="Arial" w:cs="Times New Roman"/>
          <w:color w:val="00B4D8"/>
          <w:sz w:val="21"/>
          <w:szCs w:val="28"/>
          <w:rtl w:val="0"/>
        </w:rPr>
        <w:t>1. Zero Network Dependency: All model weights, lexicons, and phrase databases reside in on-board storage. No cloud inference at runtime; no telemetry egress.
2. Pre-compiled NPU Execution: Models pre-compiled to Qualcomm DLC binaries at build time — no runtime compilation; predictable memory allocation and latency.
3. Retrieval-First Safety Cache: 300+ clinician-verified emergency phrase pairs available in &lt;30 ms, bypassing neural pipeline for safety-critical commands.
4. CPU Fallback Preserved: If HTP compilation fails for any operator, ONNX Runtime ARM64 on CPU provides complete offline operation without degrading privacy guarantees.
5. Bilingual Verification: Every output displays original and translated text simultaneously; safety status shown before TTS playback.</w:t>
      </w:r>
    </w:p>
    <w:p w14:paraId="00000140">
      <w:pPr>
        <w:numPr>
          <w:ilvl w:val="0"/>
          <w:numId w:val="1"/>
        </w:numPr>
        <w:spacing w:before="0" w:after="60" w:line="360" w:lineRule="auto"/>
        <w:ind w:left="720" w:hanging="360"/>
        <w:rPr>
          <w:rFonts w:hint="default" w:ascii="Times New Roman" w:hAnsi="Times New Roman" w:eastAsia="Arial" w:cs="Times New Roman"/>
          <w:i/>
          <w:iCs/>
          <w:sz w:val="21"/>
          <w:szCs w:val="22"/>
        </w:rPr>
      </w:pPr>
      <w:r>
        <w:rPr>
          <w:rFonts w:hint="default" w:ascii="Times New Roman" w:hAnsi="Times New Roman" w:eastAsia="Arial" w:cs="Times New Roman"/>
          <w:i/>
          <w:iCs/>
          <w:sz w:val="21"/>
          <w:szCs w:val="22"/>
          <w:rtl w:val="0"/>
        </w:rPr>
        <w:t>All AI models stored on-device; no API calls at runtime</w:t>
      </w:r>
    </w:p>
    <w:p w14:paraId="00000141">
      <w:pPr>
        <w:numPr>
          <w:ilvl w:val="0"/>
          <w:numId w:val="1"/>
        </w:numPr>
        <w:spacing w:before="0" w:after="60" w:line="360" w:lineRule="auto"/>
        <w:ind w:left="720" w:hanging="360"/>
        <w:rPr>
          <w:rFonts w:hint="default" w:ascii="Times New Roman" w:hAnsi="Times New Roman" w:eastAsia="Arial" w:cs="Times New Roman"/>
          <w:i/>
          <w:iCs/>
          <w:sz w:val="21"/>
          <w:szCs w:val="22"/>
        </w:rPr>
      </w:pPr>
      <w:r>
        <w:rPr>
          <w:rFonts w:hint="default" w:ascii="Times New Roman" w:hAnsi="Times New Roman" w:eastAsia="Arial" w:cs="Times New Roman"/>
          <w:i/>
          <w:iCs/>
          <w:sz w:val="21"/>
          <w:szCs w:val="22"/>
          <w:rtl w:val="0"/>
        </w:rPr>
        <w:t>Language pack management: pre-load required language pairs on setup</w:t>
      </w:r>
    </w:p>
    <w:p w14:paraId="00000142">
      <w:pPr>
        <w:numPr>
          <w:ilvl w:val="0"/>
          <w:numId w:val="1"/>
        </w:numPr>
        <w:spacing w:before="0" w:after="60" w:line="360" w:lineRule="auto"/>
        <w:ind w:left="720" w:hanging="360"/>
        <w:rPr>
          <w:rFonts w:hint="default" w:ascii="Times New Roman" w:hAnsi="Times New Roman" w:eastAsia="Arial" w:cs="Times New Roman"/>
          <w:i/>
          <w:iCs/>
          <w:sz w:val="21"/>
          <w:szCs w:val="22"/>
        </w:rPr>
      </w:pPr>
      <w:r>
        <w:rPr>
          <w:rFonts w:hint="default" w:ascii="Times New Roman" w:hAnsi="Times New Roman" w:eastAsia="Arial" w:cs="Times New Roman"/>
          <w:i/>
          <w:iCs/>
          <w:sz w:val="21"/>
          <w:szCs w:val="22"/>
          <w:rtl w:val="0"/>
        </w:rPr>
        <w:t>Local caching of common phrase translations for sub-100 ms repeat responses</w:t>
      </w:r>
    </w:p>
    <w:p w14:paraId="00000143">
      <w:pPr>
        <w:numPr>
          <w:ilvl w:val="0"/>
          <w:numId w:val="1"/>
        </w:numPr>
        <w:spacing w:before="0" w:after="60" w:line="360" w:lineRule="auto"/>
        <w:ind w:left="720" w:hanging="360"/>
        <w:rPr>
          <w:rFonts w:hint="default" w:ascii="Times New Roman" w:hAnsi="Times New Roman" w:eastAsia="Arial" w:cs="Times New Roman"/>
          <w:i/>
          <w:iCs/>
          <w:sz w:val="21"/>
          <w:szCs w:val="22"/>
        </w:rPr>
      </w:pPr>
      <w:r>
        <w:rPr>
          <w:rFonts w:hint="default" w:ascii="Times New Roman" w:hAnsi="Times New Roman" w:eastAsia="Arial" w:cs="Times New Roman"/>
          <w:i/>
          <w:iCs/>
          <w:sz w:val="21"/>
          <w:szCs w:val="22"/>
          <w:rtl w:val="0"/>
        </w:rPr>
        <w:t>Fail-safe audio output: text-to-speaker fallback if TTS model load fails</w:t>
      </w:r>
    </w:p>
    <w:p w14:paraId="00000146">
      <w:pPr>
        <w:pBdr>
          <w:bottom w:val="single" w:color="00B4D8" w:sz="6" w:space="1"/>
        </w:pBdr>
        <w:spacing w:before="0" w:after="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0B2A5B"/>
          <w:sz w:val="36"/>
          <w:szCs w:val="36"/>
          <w:rtl w:val="0"/>
        </w:rPr>
        <w:t>7.  Team Profile &amp; Project Timeline</w:t>
      </w:r>
    </w:p>
    <w:p w14:paraId="0000014A">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7.1  Team Members</w:t>
      </w:r>
    </w:p>
    <w:tbl>
      <w:tblPr>
        <w:tblStyle w:val="27"/>
        <w:tblW w:w="10260"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1815"/>
        <w:gridCol w:w="2815"/>
        <w:gridCol w:w="2815"/>
        <w:gridCol w:w="2815"/>
      </w:tblGrid>
      <w:tr w14:paraId="2E38A033">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4C">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Name</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4D">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Role</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4E">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Expertise</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4F">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Contribution Area</w:t>
            </w:r>
          </w:p>
        </w:tc>
      </w:tr>
      <w:tr w14:paraId="71BDE819">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393ABC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Trịnh Quốc Bảo</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F146B3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Team Lead &amp; AI Architect</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00A15D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Data Science &amp; AI Engineering</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46D28F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Overall pipeline design, ASR/NMT adaptation, and safety architecture.</w:t>
            </w:r>
          </w:p>
        </w:tc>
      </w:tr>
      <w:tr w14:paraId="69A7B7B6">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950125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Phùng Minh Khoa</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DE8BAB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Fullstack &amp; DevOps Engineer</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5556408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Fullstack Development, DevOps</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986F5E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Qt/QML application, CI/CD, integration tooling, and deployment support.</w:t>
            </w:r>
          </w:p>
        </w:tc>
      </w:tr>
      <w:tr w14:paraId="338A7A82">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5164AF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Lê Quốc Thái</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C58784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Data Science Engineer</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C4D7DB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Data Science, Model Evaluation</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B99278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Dataset analysis, ASR/NMT benchmarking, and BLEU/COMET/CTSS evaluation.</w:t>
            </w:r>
          </w:p>
        </w:tc>
      </w:tr>
      <w:tr w14:paraId="7A6680FE">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AE3FA8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Nguyễn Nhật Ngọc</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1CBB404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Data Science Engineer</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24F9C8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Data Science, Data Quality</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735E42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Clinical data processing, emergency phrase DB curation, deduplication, and testing.</w:t>
            </w:r>
          </w:p>
        </w:tc>
      </w:tr>
    </w:tbl>
    <w:p w14:paraId="00000161">
      <w:pPr>
        <w:keepNext/>
        <w:spacing w:before="80" w:after="60" w:line="360" w:lineRule="auto"/>
        <w:rPr>
          <w:rFonts w:hint="default" w:ascii="Times New Roman" w:hAnsi="Times New Roman" w:eastAsia="Arial" w:cs="Times New Roman"/>
          <w:b/>
          <w:bCs/>
          <w:color w:val="00B4D8"/>
          <w:sz w:val="28"/>
          <w:szCs w:val="28"/>
        </w:rPr>
      </w:pPr>
      <w:r>
        <w:rPr>
          <w:rFonts w:hint="default" w:ascii="Times New Roman" w:hAnsi="Times New Roman" w:eastAsia="Arial" w:cs="Times New Roman"/>
          <w:b/>
          <w:bCs/>
          <w:color w:val="00A9E0"/>
          <w:sz w:val="28"/>
          <w:szCs w:val="28"/>
          <w:rtl w:val="0"/>
        </w:rPr>
        <w:t>7.2  Project Timeline</w:t>
      </w:r>
    </w:p>
    <w:tbl>
      <w:tblPr>
        <w:tblStyle w:val="28"/>
        <w:tblW w:w="10265"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2475"/>
        <w:gridCol w:w="2550"/>
        <w:gridCol w:w="2550"/>
        <w:gridCol w:w="2690"/>
      </w:tblGrid>
      <w:tr w14:paraId="28A5E459">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63">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Phase</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64">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Milestone</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65">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Key Activities</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66">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Target Date</w:t>
            </w:r>
          </w:p>
        </w:tc>
      </w:tr>
      <w:tr w14:paraId="092FCB81">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1B674D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1DC6C6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Requirements &amp; Dataset Verification</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473031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VietMed/ViMedCSS/Eka EDA completed. MedEV dataset access confirmation. Qualcomm AI Hub model verification. Pretrained WER/BLEU baselines measured (E1, E4).</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7F7886F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June 2026 (Phase 1 EDA complete; baselines in progress)</w:t>
            </w:r>
          </w:p>
        </w:tc>
      </w:tr>
      <w:tr w14:paraId="07CBF583">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60B120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2</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10DE94B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Technical Proposal v2 &amp; Safety Architecture</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5F076D7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Redesigned architecture (whisper-small multilingual + NLLB-600M + terminology layer). Emergency phrase database design. Safety validator specification. Experiment matrix.</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BE6331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August 2026 (Current Submission)</w:t>
            </w:r>
          </w:p>
        </w:tc>
      </w:tr>
      <w:tr w14:paraId="0A52686A">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7AE0F5D">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3</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A59669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On-Device Prototype &amp; Adaptation</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393BB70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Desktop E2E pipeline. Safety layer implementation. QNN export &amp; INT8 quantization. On-device CPU deployment. LoRA ASR fine-tune (if WER gate requires). NMT fine-tune on MedEV+FutureBeeAI. Latency P90 measurement on QCS6490.</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1107547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September–October 2026</w:t>
            </w:r>
          </w:p>
        </w:tc>
      </w:tr>
      <w:tr w14:paraId="63731049">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291FE52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4</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5C46B99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Stress Testing &amp; Final Demo</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3BB7228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Noise robustness tests (65/75 dB). Thermal profiling (30 min sustained). 50-utterance clinical evaluation (WER, BLEU, CTSS, number preservation). Battery drain measurement. Demo script preparation.</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5A1E10C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October–November 2026</w:t>
            </w:r>
          </w:p>
        </w:tc>
      </w:tr>
    </w:tbl>
    <w:p w14:paraId="25B04AF7">
      <w:pPr>
        <w:pBdr>
          <w:bottom w:val="single" w:color="00B4D8" w:sz="6" w:space="1"/>
        </w:pBdr>
        <w:spacing w:before="0" w:after="0" w:line="360" w:lineRule="auto"/>
        <w:rPr>
          <w:rFonts w:hint="default" w:ascii="Times New Roman" w:hAnsi="Times New Roman" w:eastAsia="Arial" w:cs="Times New Roman"/>
          <w:b/>
          <w:bCs/>
          <w:color w:val="0B2A5B"/>
          <w:sz w:val="36"/>
          <w:szCs w:val="36"/>
          <w:rtl w:val="0"/>
        </w:rPr>
      </w:pPr>
    </w:p>
    <w:p w14:paraId="00000179">
      <w:pPr>
        <w:pBdr>
          <w:bottom w:val="single" w:color="00B4D8" w:sz="6" w:space="1"/>
        </w:pBdr>
        <w:spacing w:before="0" w:after="0" w:line="360" w:lineRule="auto"/>
        <w:rPr>
          <w:rFonts w:hint="default" w:ascii="Times New Roman" w:hAnsi="Times New Roman" w:eastAsia="Arial" w:cs="Times New Roman"/>
          <w:sz w:val="21"/>
          <w:szCs w:val="22"/>
        </w:rPr>
      </w:pPr>
      <w:r>
        <w:rPr>
          <w:rFonts w:hint="default" w:ascii="Times New Roman" w:hAnsi="Times New Roman" w:eastAsia="Arial" w:cs="Times New Roman"/>
          <w:b/>
          <w:bCs/>
          <w:color w:val="0B2A5B"/>
          <w:sz w:val="36"/>
          <w:szCs w:val="36"/>
          <w:rtl w:val="0"/>
        </w:rPr>
        <w:t>8.  Submission Checklist</w:t>
      </w:r>
    </w:p>
    <w:tbl>
      <w:tblPr>
        <w:tblStyle w:val="29"/>
        <w:tblW w:w="10275" w:type="dxa"/>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fixed"/>
        <w:tblCellMar>
          <w:top w:w="0" w:type="dxa"/>
          <w:left w:w="108" w:type="dxa"/>
          <w:bottom w:w="0" w:type="dxa"/>
          <w:right w:w="108" w:type="dxa"/>
        </w:tblCellMar>
      </w:tblPr>
      <w:tblGrid>
        <w:gridCol w:w="945"/>
        <w:gridCol w:w="7620"/>
        <w:gridCol w:w="1710"/>
      </w:tblGrid>
      <w:tr w14:paraId="5E7978A9">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blHeader/>
          <w:jc w:val="center"/>
        </w:trPr>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7D">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7E">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Checklist Item</w:t>
            </w:r>
          </w:p>
        </w:tc>
        <w:tc>
          <w:tcPr>
            <w:tcBorders>
              <w:top w:val="single" w:color="0A2357" w:sz="4" w:space="0"/>
              <w:left w:val="single" w:color="0A2357" w:sz="4" w:space="0"/>
              <w:bottom w:val="single" w:color="0A2357" w:sz="4" w:space="0"/>
              <w:right w:val="single" w:color="0A2357" w:sz="4" w:space="0"/>
            </w:tcBorders>
            <w:shd w:val="clear" w:color="auto" w:fill="0B2A5B"/>
            <w:tcMar>
              <w:top w:w="60" w:type="dxa"/>
              <w:left w:w="90" w:type="dxa"/>
              <w:bottom w:w="60" w:type="dxa"/>
              <w:right w:w="90" w:type="dxa"/>
            </w:tcMar>
            <w:vAlign w:val="center"/>
          </w:tcPr>
          <w:p w14:paraId="0000017F">
            <w:pPr>
              <w:spacing w:before="0" w:after="0" w:line="360" w:lineRule="auto"/>
              <w:rPr>
                <w:rFonts w:hint="default" w:ascii="Times New Roman" w:hAnsi="Times New Roman" w:eastAsia="Arial" w:cs="Times New Roman"/>
                <w:sz w:val="21"/>
                <w:szCs w:val="21"/>
              </w:rPr>
            </w:pPr>
            <w:r>
              <w:rPr>
                <w:rFonts w:hint="default" w:ascii="Times New Roman" w:hAnsi="Times New Roman" w:eastAsia="Arial" w:cs="Times New Roman"/>
                <w:b/>
                <w:bCs/>
                <w:color w:val="FFFFFF"/>
                <w:sz w:val="21"/>
                <w:szCs w:val="21"/>
                <w:rtl w:val="0"/>
              </w:rPr>
              <w:t>Status</w:t>
            </w:r>
          </w:p>
        </w:tc>
      </w:tr>
      <w:tr w14:paraId="251C271D">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rHeight w:val="450" w:hRule="atLeast"/>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339C41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7BC1C1F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Executive Summary written (200–300 words)</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4EDD148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[X] Done</w:t>
            </w:r>
          </w:p>
        </w:tc>
      </w:tr>
      <w:tr w14:paraId="2596D135">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rHeight w:val="450" w:hRule="atLeast"/>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5DFEA4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2</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014F444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Problem Statement, Target Users, and Design Constraints completed</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2C38E1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[X] Done</w:t>
            </w:r>
          </w:p>
        </w:tc>
      </w:tr>
      <w:tr w14:paraId="41B44E8E">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rHeight w:val="450" w:hRule="atLeast"/>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34B6A8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3</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C7AC58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Business Solution — industry gap, solution fit, competitive differentiation described</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6E15F6A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[X] Done</w:t>
            </w:r>
          </w:p>
        </w:tc>
      </w:tr>
      <w:tr w14:paraId="2FADFFFE">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rHeight w:val="450" w:hRule="atLeast"/>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25E1FC9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4</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6AC72EA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AI pipeline documented: module specs, hybrid compute map, safety architecture, latency model</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244EF7F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[X] Done</w:t>
            </w:r>
          </w:p>
        </w:tc>
      </w:tr>
      <w:tr w14:paraId="7C49018F">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rHeight w:val="450" w:hRule="atLeast"/>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DA2461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5</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5569301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Hardware platform justified; form factor, BOM, and duty-cycle power budget completed</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F0C15A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[X] Done</w:t>
            </w:r>
          </w:p>
        </w:tc>
      </w:tr>
      <w:tr w14:paraId="06D0771E">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rHeight w:val="450" w:hRule="atLeast"/>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71249E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6</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565351C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Team profiles and dependency-correct project timeline filled in</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0E0974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[X] Done</w:t>
            </w:r>
          </w:p>
        </w:tc>
      </w:tr>
      <w:tr w14:paraId="6D495151">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rHeight w:val="450" w:hRule="atLeast"/>
          <w:jc w:val="center"/>
        </w:trPr>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79FC8D4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7</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26F0537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All placeholder text replaced; pipeline diagram and architecture diagram included; all claims labeled (T)/(E)/(L)/(M)</w:t>
            </w:r>
          </w:p>
        </w:tc>
        <w:tc>
          <w:tcPr>
            <w:tcBorders>
              <w:top w:val="single" w:color="D1D5DB" w:sz="4" w:space="0"/>
              <w:left w:val="single" w:color="D1D5DB" w:sz="4" w:space="0"/>
              <w:bottom w:val="single" w:color="D1D5DB" w:sz="4" w:space="0"/>
              <w:right w:val="single" w:color="D1D5DB" w:sz="4" w:space="0"/>
            </w:tcBorders>
            <w:shd w:val="clear" w:color="auto" w:fill="FFFFFF"/>
            <w:tcMar>
              <w:top w:w="60" w:type="dxa"/>
              <w:left w:w="90" w:type="dxa"/>
              <w:bottom w:w="60" w:type="dxa"/>
              <w:right w:w="90" w:type="dxa"/>
            </w:tcMar>
            <w:vAlign w:val="center"/>
          </w:tcPr>
          <w:p w14:paraId="0857C5B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[X] Done</w:t>
            </w:r>
          </w:p>
        </w:tc>
      </w:tr>
      <w:tr w14:paraId="213FF2CF">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8" w:type="dxa"/>
            <w:bottom w:w="0" w:type="dxa"/>
            <w:right w:w="108" w:type="dxa"/>
          </w:tblCellMar>
        </w:tblPrEx>
        <w:trPr>
          <w:trHeight w:val="450" w:hRule="atLeast"/>
          <w:jc w:val="center"/>
        </w:trPr>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6562515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8</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78DFA2F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Legacy claims removed: Distil-Whisper-Vi, speculative decoding, HIPAA/medical-grade, ION/DMA, &lt;1.4s guarantee, all-NPU execution. Demo video pending prototype completion.</w:t>
            </w:r>
          </w:p>
        </w:tc>
        <w:tc>
          <w:tcPr>
            <w:tcBorders>
              <w:top w:val="single" w:color="D1D5DB" w:sz="4" w:space="0"/>
              <w:left w:val="single" w:color="D1D5DB" w:sz="4" w:space="0"/>
              <w:bottom w:val="single" w:color="D1D5DB" w:sz="4" w:space="0"/>
              <w:right w:val="single" w:color="D1D5DB" w:sz="4" w:space="0"/>
            </w:tcBorders>
            <w:shd w:val="clear" w:color="auto" w:fill="F1F4F7"/>
            <w:tcMar>
              <w:top w:w="60" w:type="dxa"/>
              <w:left w:w="90" w:type="dxa"/>
              <w:bottom w:w="60" w:type="dxa"/>
              <w:right w:w="90" w:type="dxa"/>
            </w:tcMar>
            <w:vAlign w:val="center"/>
          </w:tcPr>
          <w:p w14:paraId="45C38C6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 ] Pending demo</w:t>
            </w:r>
          </w:p>
        </w:tc>
      </w:tr>
    </w:tbl>
    <w:p w14:paraId="2B272332">
      <w:pPr>
        <w:pStyle w:val="2"/>
        <w:keepNext/>
        <w:spacing w:before="120" w:after="100" w:line="360" w:lineRule="auto"/>
        <w:rPr>
          <w:rFonts w:hint="default" w:ascii="Times New Roman" w:hAnsi="Times New Roman" w:eastAsia="Arial" w:cs="Times New Roman"/>
          <w:b/>
          <w:color w:val="0B2A5B"/>
          <w:sz w:val="36"/>
          <w:szCs w:val="36"/>
        </w:rPr>
      </w:pPr>
    </w:p>
    <w:p w14:paraId="1D92677C">
      <w:pPr>
        <w:pStyle w:val="2"/>
        <w:keepNext/>
        <w:spacing w:before="120" w:after="100" w:line="360" w:lineRule="auto"/>
        <w:rPr>
          <w:rFonts w:hint="default" w:ascii="Times New Roman" w:hAnsi="Times New Roman" w:cs="Times New Roman"/>
          <w:sz w:val="36"/>
          <w:szCs w:val="36"/>
        </w:rPr>
      </w:pPr>
      <w:r>
        <w:rPr>
          <w:rFonts w:hint="default" w:ascii="Times New Roman" w:hAnsi="Times New Roman" w:eastAsia="Arial" w:cs="Times New Roman"/>
          <w:b/>
          <w:color w:val="0B2A5B"/>
          <w:sz w:val="36"/>
          <w:szCs w:val="36"/>
        </w:rPr>
        <w:t>Appendix A: Functional E2E Smoke Test (Desktop CPU Baseline)</w:t>
      </w:r>
    </w:p>
    <w:p w14:paraId="52F84DA6">
      <w:pPr>
        <w:spacing w:after="60" w:line="360" w:lineRule="auto"/>
        <w:jc w:val="both"/>
        <w:rPr>
          <w:rFonts w:hint="default" w:ascii="Times New Roman" w:hAnsi="Times New Roman" w:cs="Times New Roman"/>
          <w:sz w:val="21"/>
          <w:szCs w:val="22"/>
        </w:rPr>
      </w:pPr>
      <w:r>
        <w:rPr>
          <w:rFonts w:hint="default" w:ascii="Times New Roman" w:hAnsi="Times New Roman" w:eastAsia="Arial" w:cs="Times New Roman"/>
          <w:sz w:val="21"/>
          <w:szCs w:val="22"/>
        </w:rPr>
        <w:t xml:space="preserve">The following table summarises results from running the complete NOVOICE pipeline (Whisper-small → NLLB-600M → Deterministic Validator → pyttsx3 TTS) on a desktop CPU testbed (Intel Core, no GPU). Latency figures are </w:t>
      </w:r>
      <w:r>
        <w:rPr>
          <w:rFonts w:hint="default" w:ascii="Times New Roman" w:hAnsi="Times New Roman" w:eastAsia="Arial" w:cs="Times New Roman"/>
          <w:b/>
          <w:sz w:val="21"/>
          <w:szCs w:val="22"/>
        </w:rPr>
        <w:t>not representative of target QCS6490/HTP performance</w:t>
      </w:r>
      <w:r>
        <w:rPr>
          <w:rFonts w:hint="default" w:ascii="Times New Roman" w:hAnsi="Times New Roman" w:eastAsia="Arial" w:cs="Times New Roman"/>
          <w:sz w:val="21"/>
          <w:szCs w:val="22"/>
        </w:rPr>
        <w:t xml:space="preserve"> and are presented solely to confirm functional correctness of the pipeline architecture. A projected ~8× ASR speedup via Qualcomm AI Hub HTP acceleration yields an estimated E2E latency of &lt;2 s on the target device.</w:t>
      </w:r>
    </w:p>
    <w:tbl>
      <w:tblPr>
        <w:tblStyle w:val="9"/>
        <w:tblW w:w="0" w:type="auto"/>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autofit"/>
        <w:tblCellMar>
          <w:top w:w="0" w:type="dxa"/>
          <w:left w:w="10" w:type="dxa"/>
          <w:bottom w:w="0" w:type="dxa"/>
          <w:right w:w="10" w:type="dxa"/>
        </w:tblCellMar>
      </w:tblPr>
      <w:tblGrid>
        <w:gridCol w:w="1700"/>
        <w:gridCol w:w="1700"/>
        <w:gridCol w:w="1700"/>
        <w:gridCol w:w="1700"/>
        <w:gridCol w:w="1700"/>
        <w:gridCol w:w="1700"/>
      </w:tblGrid>
      <w:tr w14:paraId="0BEDEAB3">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tblHeader/>
          <w:jc w:val="center"/>
        </w:trPr>
        <w:tc>
          <w:tcPr>
            <w:tcW w:w="1700" w:type="dxa"/>
            <w:shd w:val="clear" w:color="auto" w:fill="0B2A5B"/>
            <w:tcMar>
              <w:top w:w="60" w:type="dxa"/>
              <w:left w:w="90" w:type="dxa"/>
              <w:bottom w:w="60" w:type="dxa"/>
              <w:right w:w="90" w:type="dxa"/>
            </w:tcMar>
            <w:vAlign w:val="center"/>
          </w:tcPr>
          <w:p w14:paraId="30D4990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Scenario</w:t>
            </w:r>
          </w:p>
        </w:tc>
        <w:tc>
          <w:tcPr>
            <w:tcW w:w="1700" w:type="dxa"/>
            <w:shd w:val="clear" w:color="auto" w:fill="0B2A5B"/>
            <w:tcMar>
              <w:top w:w="60" w:type="dxa"/>
              <w:left w:w="90" w:type="dxa"/>
              <w:bottom w:w="60" w:type="dxa"/>
              <w:right w:w="90" w:type="dxa"/>
            </w:tcMar>
            <w:vAlign w:val="center"/>
          </w:tcPr>
          <w:p w14:paraId="6354196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Path</w:t>
            </w:r>
          </w:p>
        </w:tc>
        <w:tc>
          <w:tcPr>
            <w:tcW w:w="1700" w:type="dxa"/>
            <w:shd w:val="clear" w:color="auto" w:fill="0B2A5B"/>
            <w:tcMar>
              <w:top w:w="60" w:type="dxa"/>
              <w:left w:w="90" w:type="dxa"/>
              <w:bottom w:w="60" w:type="dxa"/>
              <w:right w:w="90" w:type="dxa"/>
            </w:tcMar>
            <w:vAlign w:val="center"/>
          </w:tcPr>
          <w:p w14:paraId="375A53A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Source (VI)</w:t>
            </w:r>
          </w:p>
        </w:tc>
        <w:tc>
          <w:tcPr>
            <w:tcW w:w="1700" w:type="dxa"/>
            <w:shd w:val="clear" w:color="auto" w:fill="0B2A5B"/>
            <w:tcMar>
              <w:top w:w="60" w:type="dxa"/>
              <w:left w:w="90" w:type="dxa"/>
              <w:bottom w:w="60" w:type="dxa"/>
              <w:right w:w="90" w:type="dxa"/>
            </w:tcMar>
            <w:vAlign w:val="center"/>
          </w:tcPr>
          <w:p w14:paraId="6929B5D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Translation (EN)</w:t>
            </w:r>
          </w:p>
        </w:tc>
        <w:tc>
          <w:tcPr>
            <w:tcW w:w="1700" w:type="dxa"/>
            <w:shd w:val="clear" w:color="auto" w:fill="0B2A5B"/>
            <w:tcMar>
              <w:top w:w="60" w:type="dxa"/>
              <w:left w:w="90" w:type="dxa"/>
              <w:bottom w:w="60" w:type="dxa"/>
              <w:right w:w="90" w:type="dxa"/>
            </w:tcMar>
            <w:vAlign w:val="center"/>
          </w:tcPr>
          <w:p w14:paraId="0EED0F8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Status</w:t>
            </w:r>
          </w:p>
        </w:tc>
        <w:tc>
          <w:tcPr>
            <w:tcW w:w="1700" w:type="dxa"/>
            <w:shd w:val="clear" w:color="auto" w:fill="0B2A5B"/>
            <w:tcMar>
              <w:top w:w="60" w:type="dxa"/>
              <w:left w:w="90" w:type="dxa"/>
              <w:bottom w:w="60" w:type="dxa"/>
              <w:right w:w="90" w:type="dxa"/>
            </w:tcMar>
            <w:vAlign w:val="center"/>
          </w:tcPr>
          <w:p w14:paraId="1CAC1DC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Total (s)</w:t>
            </w:r>
          </w:p>
        </w:tc>
      </w:tr>
      <w:tr w14:paraId="24356A9B">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jc w:val="center"/>
        </w:trPr>
        <w:tc>
          <w:tcPr>
            <w:tcW w:w="1700" w:type="dxa"/>
            <w:shd w:val="clear" w:color="auto" w:fill="FFFFFF"/>
            <w:tcMar>
              <w:top w:w="60" w:type="dxa"/>
              <w:left w:w="90" w:type="dxa"/>
              <w:bottom w:w="60" w:type="dxa"/>
              <w:right w:w="90" w:type="dxa"/>
            </w:tcMar>
            <w:vAlign w:val="center"/>
          </w:tcPr>
          <w:p w14:paraId="350268E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A</w:t>
            </w:r>
          </w:p>
        </w:tc>
        <w:tc>
          <w:tcPr>
            <w:tcW w:w="1700" w:type="dxa"/>
            <w:shd w:val="clear" w:color="auto" w:fill="FFFFFF"/>
            <w:tcMar>
              <w:top w:w="60" w:type="dxa"/>
              <w:left w:w="90" w:type="dxa"/>
              <w:bottom w:w="60" w:type="dxa"/>
              <w:right w:w="90" w:type="dxa"/>
            </w:tcMar>
            <w:vAlign w:val="center"/>
          </w:tcPr>
          <w:p w14:paraId="0BE95A5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NEURAL</w:t>
            </w:r>
          </w:p>
        </w:tc>
        <w:tc>
          <w:tcPr>
            <w:tcW w:w="1700" w:type="dxa"/>
            <w:shd w:val="clear" w:color="auto" w:fill="FFFFFF"/>
            <w:tcMar>
              <w:top w:w="60" w:type="dxa"/>
              <w:left w:w="90" w:type="dxa"/>
              <w:bottom w:w="60" w:type="dxa"/>
              <w:right w:w="90" w:type="dxa"/>
            </w:tcMar>
            <w:vAlign w:val="center"/>
          </w:tcPr>
          <w:p w14:paraId="5B233F6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Bệnh nhân có triệu chứng sốt cao và ho khan kéo dài.</w:t>
            </w:r>
          </w:p>
        </w:tc>
        <w:tc>
          <w:tcPr>
            <w:tcW w:w="1700" w:type="dxa"/>
            <w:shd w:val="clear" w:color="auto" w:fill="FFFFFF"/>
            <w:tcMar>
              <w:top w:w="60" w:type="dxa"/>
              <w:left w:w="90" w:type="dxa"/>
              <w:bottom w:w="60" w:type="dxa"/>
              <w:right w:w="90" w:type="dxa"/>
            </w:tcMar>
            <w:vAlign w:val="center"/>
          </w:tcPr>
          <w:p w14:paraId="52D910D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The patient has symptoms of high fever and chronic cough.</w:t>
            </w:r>
          </w:p>
        </w:tc>
        <w:tc>
          <w:tcPr>
            <w:tcW w:w="1700" w:type="dxa"/>
            <w:shd w:val="clear" w:color="auto" w:fill="FFFFFF"/>
            <w:tcMar>
              <w:top w:w="60" w:type="dxa"/>
              <w:left w:w="90" w:type="dxa"/>
              <w:bottom w:w="60" w:type="dxa"/>
              <w:right w:w="90" w:type="dxa"/>
            </w:tcMar>
            <w:vAlign w:val="center"/>
          </w:tcPr>
          <w:p w14:paraId="3B7C335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ENTITY CHECK PASSED</w:t>
            </w:r>
          </w:p>
        </w:tc>
        <w:tc>
          <w:tcPr>
            <w:tcW w:w="1700" w:type="dxa"/>
            <w:shd w:val="clear" w:color="auto" w:fill="FFFFFF"/>
            <w:tcMar>
              <w:top w:w="60" w:type="dxa"/>
              <w:left w:w="90" w:type="dxa"/>
              <w:bottom w:w="60" w:type="dxa"/>
              <w:right w:w="90" w:type="dxa"/>
            </w:tcMar>
            <w:vAlign w:val="center"/>
          </w:tcPr>
          <w:p w14:paraId="0B22F63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6.315</w:t>
            </w:r>
          </w:p>
        </w:tc>
      </w:tr>
      <w:tr w14:paraId="0463940C">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jc w:val="center"/>
        </w:trPr>
        <w:tc>
          <w:tcPr>
            <w:tcW w:w="1700" w:type="dxa"/>
            <w:shd w:val="clear" w:color="auto" w:fill="F1F4F7"/>
            <w:tcMar>
              <w:top w:w="60" w:type="dxa"/>
              <w:left w:w="90" w:type="dxa"/>
              <w:bottom w:w="60" w:type="dxa"/>
              <w:right w:w="90" w:type="dxa"/>
            </w:tcMar>
            <w:vAlign w:val="center"/>
          </w:tcPr>
          <w:p w14:paraId="2253A8A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B</w:t>
            </w:r>
          </w:p>
        </w:tc>
        <w:tc>
          <w:tcPr>
            <w:tcW w:w="1700" w:type="dxa"/>
            <w:shd w:val="clear" w:color="auto" w:fill="F1F4F7"/>
            <w:tcMar>
              <w:top w:w="60" w:type="dxa"/>
              <w:left w:w="90" w:type="dxa"/>
              <w:bottom w:w="60" w:type="dxa"/>
              <w:right w:w="90" w:type="dxa"/>
            </w:tcMar>
            <w:vAlign w:val="center"/>
          </w:tcPr>
          <w:p w14:paraId="5988E83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NEURAL</w:t>
            </w:r>
          </w:p>
        </w:tc>
        <w:tc>
          <w:tcPr>
            <w:tcW w:w="1700" w:type="dxa"/>
            <w:shd w:val="clear" w:color="auto" w:fill="F1F4F7"/>
            <w:tcMar>
              <w:top w:w="60" w:type="dxa"/>
              <w:left w:w="90" w:type="dxa"/>
              <w:bottom w:w="60" w:type="dxa"/>
              <w:right w:w="90" w:type="dxa"/>
            </w:tcMar>
            <w:vAlign w:val="center"/>
          </w:tcPr>
          <w:p w14:paraId="4DB599D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Tiêm epinephrine 0.3 mg bắp đùi ngay.</w:t>
            </w:r>
          </w:p>
        </w:tc>
        <w:tc>
          <w:tcPr>
            <w:tcW w:w="1700" w:type="dxa"/>
            <w:shd w:val="clear" w:color="auto" w:fill="F1F4F7"/>
            <w:tcMar>
              <w:top w:w="60" w:type="dxa"/>
              <w:left w:w="90" w:type="dxa"/>
              <w:bottom w:w="60" w:type="dxa"/>
              <w:right w:w="90" w:type="dxa"/>
            </w:tcMar>
            <w:vAlign w:val="center"/>
          </w:tcPr>
          <w:p w14:paraId="7B3B9B8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Inject 0.3 mg of epinephrine into the thigh muscle immediately.</w:t>
            </w:r>
          </w:p>
        </w:tc>
        <w:tc>
          <w:tcPr>
            <w:tcW w:w="1700" w:type="dxa"/>
            <w:shd w:val="clear" w:color="auto" w:fill="F1F4F7"/>
            <w:tcMar>
              <w:top w:w="60" w:type="dxa"/>
              <w:left w:w="90" w:type="dxa"/>
              <w:bottom w:w="60" w:type="dxa"/>
              <w:right w:w="90" w:type="dxa"/>
            </w:tcMar>
            <w:vAlign w:val="center"/>
          </w:tcPr>
          <w:p w14:paraId="43CBD62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ENTITY CHECK PASSED</w:t>
            </w:r>
          </w:p>
        </w:tc>
        <w:tc>
          <w:tcPr>
            <w:tcW w:w="1700" w:type="dxa"/>
            <w:shd w:val="clear" w:color="auto" w:fill="F1F4F7"/>
            <w:tcMar>
              <w:top w:w="60" w:type="dxa"/>
              <w:left w:w="90" w:type="dxa"/>
              <w:bottom w:w="60" w:type="dxa"/>
              <w:right w:w="90" w:type="dxa"/>
            </w:tcMar>
            <w:vAlign w:val="center"/>
          </w:tcPr>
          <w:p w14:paraId="3F33E32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4.785</w:t>
            </w:r>
          </w:p>
        </w:tc>
      </w:tr>
      <w:tr w14:paraId="1AD85C62">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jc w:val="center"/>
        </w:trPr>
        <w:tc>
          <w:tcPr>
            <w:tcW w:w="1700" w:type="dxa"/>
            <w:shd w:val="clear" w:color="auto" w:fill="FFFFFF"/>
            <w:tcMar>
              <w:top w:w="60" w:type="dxa"/>
              <w:left w:w="90" w:type="dxa"/>
              <w:bottom w:w="60" w:type="dxa"/>
              <w:right w:w="90" w:type="dxa"/>
            </w:tcMar>
            <w:vAlign w:val="center"/>
          </w:tcPr>
          <w:p w14:paraId="014D21A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w:t>
            </w:r>
          </w:p>
        </w:tc>
        <w:tc>
          <w:tcPr>
            <w:tcW w:w="1700" w:type="dxa"/>
            <w:shd w:val="clear" w:color="auto" w:fill="FFFFFF"/>
            <w:tcMar>
              <w:top w:w="60" w:type="dxa"/>
              <w:left w:w="90" w:type="dxa"/>
              <w:bottom w:w="60" w:type="dxa"/>
              <w:right w:w="90" w:type="dxa"/>
            </w:tcMar>
            <w:vAlign w:val="center"/>
          </w:tcPr>
          <w:p w14:paraId="65D7731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RETRIEVAL</w:t>
            </w:r>
          </w:p>
        </w:tc>
        <w:tc>
          <w:tcPr>
            <w:tcW w:w="1700" w:type="dxa"/>
            <w:shd w:val="clear" w:color="auto" w:fill="FFFFFF"/>
            <w:tcMar>
              <w:top w:w="60" w:type="dxa"/>
              <w:left w:w="90" w:type="dxa"/>
              <w:bottom w:w="60" w:type="dxa"/>
              <w:right w:w="90" w:type="dxa"/>
            </w:tcMar>
            <w:vAlign w:val="center"/>
          </w:tcPr>
          <w:p w14:paraId="1A3B20B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Ngừng tim, gọi cấp cứu ngay lập tức.</w:t>
            </w:r>
          </w:p>
        </w:tc>
        <w:tc>
          <w:tcPr>
            <w:tcW w:w="1700" w:type="dxa"/>
            <w:shd w:val="clear" w:color="auto" w:fill="FFFFFF"/>
            <w:tcMar>
              <w:top w:w="60" w:type="dxa"/>
              <w:left w:w="90" w:type="dxa"/>
              <w:bottom w:w="60" w:type="dxa"/>
              <w:right w:w="90" w:type="dxa"/>
            </w:tcMar>
            <w:vAlign w:val="center"/>
          </w:tcPr>
          <w:p w14:paraId="20A2F71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Cardiac arrest — call emergency services immediately.</w:t>
            </w:r>
          </w:p>
        </w:tc>
        <w:tc>
          <w:tcPr>
            <w:tcW w:w="1700" w:type="dxa"/>
            <w:shd w:val="clear" w:color="auto" w:fill="FFFFFF"/>
            <w:tcMar>
              <w:top w:w="60" w:type="dxa"/>
              <w:left w:w="90" w:type="dxa"/>
              <w:bottom w:w="60" w:type="dxa"/>
              <w:right w:w="90" w:type="dxa"/>
            </w:tcMar>
            <w:vAlign w:val="center"/>
          </w:tcPr>
          <w:p w14:paraId="7218411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RETRIEVED — VERIFIED  [match score: 100%</w:t>
            </w:r>
          </w:p>
        </w:tc>
        <w:tc>
          <w:tcPr>
            <w:tcW w:w="1700" w:type="dxa"/>
            <w:shd w:val="clear" w:color="auto" w:fill="FFFFFF"/>
            <w:tcMar>
              <w:top w:w="60" w:type="dxa"/>
              <w:left w:w="90" w:type="dxa"/>
              <w:bottom w:w="60" w:type="dxa"/>
              <w:right w:w="90" w:type="dxa"/>
            </w:tcMar>
            <w:vAlign w:val="center"/>
          </w:tcPr>
          <w:p w14:paraId="0025D9D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2.745</w:t>
            </w:r>
          </w:p>
        </w:tc>
      </w:tr>
      <w:tr w14:paraId="4229AFF7">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jc w:val="center"/>
        </w:trPr>
        <w:tc>
          <w:tcPr>
            <w:tcW w:w="1700" w:type="dxa"/>
            <w:shd w:val="clear" w:color="auto" w:fill="F1F4F7"/>
            <w:tcMar>
              <w:top w:w="60" w:type="dxa"/>
              <w:left w:w="90" w:type="dxa"/>
              <w:bottom w:w="60" w:type="dxa"/>
              <w:right w:w="90" w:type="dxa"/>
            </w:tcMar>
            <w:vAlign w:val="center"/>
          </w:tcPr>
          <w:p w14:paraId="1D80213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D</w:t>
            </w:r>
          </w:p>
        </w:tc>
        <w:tc>
          <w:tcPr>
            <w:tcW w:w="1700" w:type="dxa"/>
            <w:shd w:val="clear" w:color="auto" w:fill="F1F4F7"/>
            <w:tcMar>
              <w:top w:w="60" w:type="dxa"/>
              <w:left w:w="90" w:type="dxa"/>
              <w:bottom w:w="60" w:type="dxa"/>
              <w:right w:w="90" w:type="dxa"/>
            </w:tcMar>
            <w:vAlign w:val="center"/>
          </w:tcPr>
          <w:p w14:paraId="1717182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NEURAL</w:t>
            </w:r>
          </w:p>
        </w:tc>
        <w:tc>
          <w:tcPr>
            <w:tcW w:w="1700" w:type="dxa"/>
            <w:shd w:val="clear" w:color="auto" w:fill="F1F4F7"/>
            <w:tcMar>
              <w:top w:w="60" w:type="dxa"/>
              <w:left w:w="90" w:type="dxa"/>
              <w:bottom w:w="60" w:type="dxa"/>
              <w:right w:w="90" w:type="dxa"/>
            </w:tcMar>
            <w:vAlign w:val="center"/>
          </w:tcPr>
          <w:p w14:paraId="48D7BBA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Bệnh nhân có vẻ mệt mỏi và chóng mặt nhẹ.</w:t>
            </w:r>
          </w:p>
        </w:tc>
        <w:tc>
          <w:tcPr>
            <w:tcW w:w="1700" w:type="dxa"/>
            <w:shd w:val="clear" w:color="auto" w:fill="F1F4F7"/>
            <w:tcMar>
              <w:top w:w="60" w:type="dxa"/>
              <w:left w:w="90" w:type="dxa"/>
              <w:bottom w:w="60" w:type="dxa"/>
              <w:right w:w="90" w:type="dxa"/>
            </w:tcMar>
            <w:vAlign w:val="center"/>
          </w:tcPr>
          <w:p w14:paraId="36D300A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The patient appears tired and slightly dizzy.</w:t>
            </w:r>
          </w:p>
        </w:tc>
        <w:tc>
          <w:tcPr>
            <w:tcW w:w="1700" w:type="dxa"/>
            <w:shd w:val="clear" w:color="auto" w:fill="F1F4F7"/>
            <w:tcMar>
              <w:top w:w="60" w:type="dxa"/>
              <w:left w:w="90" w:type="dxa"/>
              <w:bottom w:w="60" w:type="dxa"/>
              <w:right w:w="90" w:type="dxa"/>
            </w:tcMar>
            <w:vAlign w:val="center"/>
          </w:tcPr>
          <w:p w14:paraId="39DD9B4A">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ENTITY CHECK PASSED</w:t>
            </w:r>
          </w:p>
        </w:tc>
        <w:tc>
          <w:tcPr>
            <w:tcW w:w="1700" w:type="dxa"/>
            <w:shd w:val="clear" w:color="auto" w:fill="F1F4F7"/>
            <w:tcMar>
              <w:top w:w="60" w:type="dxa"/>
              <w:left w:w="90" w:type="dxa"/>
              <w:bottom w:w="60" w:type="dxa"/>
              <w:right w:w="90" w:type="dxa"/>
            </w:tcMar>
            <w:vAlign w:val="center"/>
          </w:tcPr>
          <w:p w14:paraId="2D52780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4.101</w:t>
            </w:r>
          </w:p>
        </w:tc>
      </w:tr>
    </w:tbl>
    <w:p w14:paraId="44D292A1">
      <w:pPr>
        <w:spacing w:after="60" w:line="360" w:lineRule="auto"/>
        <w:rPr>
          <w:rFonts w:hint="default" w:ascii="Times New Roman" w:hAnsi="Times New Roman" w:eastAsia="Arial" w:cs="Times New Roman"/>
          <w:b/>
          <w:sz w:val="21"/>
          <w:szCs w:val="22"/>
        </w:rPr>
      </w:pPr>
    </w:p>
    <w:p w14:paraId="1382FA6E">
      <w:pPr>
        <w:spacing w:after="60" w:line="360" w:lineRule="auto"/>
        <w:jc w:val="both"/>
        <w:rPr>
          <w:rFonts w:hint="default" w:ascii="Times New Roman" w:hAnsi="Times New Roman" w:eastAsia="Arial" w:cs="Times New Roman"/>
          <w:sz w:val="21"/>
          <w:szCs w:val="22"/>
        </w:rPr>
      </w:pPr>
      <w:r>
        <w:rPr>
          <w:rFonts w:hint="default" w:ascii="Times New Roman" w:hAnsi="Times New Roman" w:eastAsia="Arial" w:cs="Times New Roman"/>
          <w:b/>
          <w:sz w:val="21"/>
          <w:szCs w:val="22"/>
        </w:rPr>
        <w:t xml:space="preserve">Key Insight — ASR is the dominant latency component: </w:t>
      </w:r>
      <w:r>
        <w:rPr>
          <w:rFonts w:hint="default" w:ascii="Times New Roman" w:hAnsi="Times New Roman" w:eastAsia="Arial" w:cs="Times New Roman"/>
          <w:sz w:val="21"/>
          <w:szCs w:val="22"/>
        </w:rPr>
        <w:t>ASR (Whisper-small CPU) accounts for &gt;85% of total desktop latency. This directly validates our architectural priority of targeting Qualcomm AI Hub Whisper INT8 HTP execution first. NMT (NLLB-600M) averages 1.8 s CPU; TTS is negligible at ~0.15 s. Emergency retrieval (Scenario C) bypasses the neural pipeline entirely, confirming sub-millisecond deterministic response for critical phrases.</w:t>
      </w:r>
    </w:p>
    <w:p w14:paraId="02C0E169">
      <w:pPr>
        <w:spacing w:after="60" w:line="360" w:lineRule="auto"/>
        <w:jc w:val="left"/>
        <w:rPr>
          <w:rFonts w:hint="default" w:ascii="Times New Roman" w:hAnsi="Times New Roman" w:cs="Times New Roman"/>
          <w:sz w:val="21"/>
          <w:szCs w:val="22"/>
        </w:rPr>
      </w:pPr>
      <w:r>
        <w:rPr>
          <w:rFonts w:hint="default" w:ascii="Times New Roman" w:hAnsi="Times New Roman" w:eastAsia="Arial" w:cs="Times New Roman"/>
          <w:sz w:val="21"/>
          <w:szCs w:val="22"/>
        </w:rPr>
        <w:br w:type="textWrapping"/>
      </w:r>
      <w:r>
        <w:rPr>
          <w:rFonts w:hint="default" w:ascii="Times New Roman" w:hAnsi="Times New Roman" w:eastAsia="Arial" w:cs="Times New Roman"/>
          <w:sz w:val="21"/>
          <w:szCs w:val="22"/>
        </w:rPr>
        <w:t>Latency Improvement Roadmap (Desktop CPU → QCS6490 Target):</w:t>
      </w:r>
      <w:r>
        <w:rPr>
          <w:rFonts w:hint="default" w:ascii="Times New Roman" w:hAnsi="Times New Roman" w:eastAsia="Arial" w:cs="Times New Roman"/>
          <w:sz w:val="21"/>
          <w:szCs w:val="22"/>
        </w:rPr>
        <w:br w:type="textWrapping"/>
      </w:r>
      <w:r>
        <w:rPr>
          <w:rFonts w:hint="default" w:ascii="Times New Roman" w:hAnsi="Times New Roman" w:eastAsia="Arial" w:cs="Times New Roman"/>
          <w:sz w:val="21"/>
          <w:szCs w:val="22"/>
        </w:rPr>
        <w:t xml:space="preserve">  Step 1 — Profiling: identify per-operator HTP support for Whisper-small (AI Hub artifact verified (V)).</w:t>
      </w:r>
      <w:r>
        <w:rPr>
          <w:rFonts w:hint="default" w:ascii="Times New Roman" w:hAnsi="Times New Roman" w:eastAsia="Arial" w:cs="Times New Roman"/>
          <w:sz w:val="21"/>
          <w:szCs w:val="22"/>
        </w:rPr>
        <w:br w:type="textWrapping"/>
      </w:r>
      <w:r>
        <w:rPr>
          <w:rFonts w:hint="default" w:ascii="Times New Roman" w:hAnsi="Times New Roman" w:eastAsia="Arial" w:cs="Times New Roman"/>
          <w:sz w:val="21"/>
          <w:szCs w:val="22"/>
        </w:rPr>
        <w:t xml:space="preserve">  Step 2 — Deploy Whisper INT8 on HTP: expected dominant speedup since ASR = &gt;85% of desktop latency.</w:t>
      </w:r>
      <w:r>
        <w:rPr>
          <w:rFonts w:hint="default" w:ascii="Times New Roman" w:hAnsi="Times New Roman" w:eastAsia="Arial" w:cs="Times New Roman"/>
          <w:sz w:val="21"/>
          <w:szCs w:val="22"/>
        </w:rPr>
        <w:br w:type="textWrapping"/>
      </w:r>
      <w:r>
        <w:rPr>
          <w:rFonts w:hint="default" w:ascii="Times New Roman" w:hAnsi="Times New Roman" w:eastAsia="Arial" w:cs="Times New Roman"/>
          <w:sz w:val="21"/>
          <w:szCs w:val="22"/>
        </w:rPr>
        <w:t xml:space="preserve">  Step 3 — Measure ASR HTP latency on QCS6490 (Phase 3 target: &lt;450 ms per chunk).</w:t>
      </w:r>
      <w:r>
        <w:rPr>
          <w:rFonts w:hint="default" w:ascii="Times New Roman" w:hAnsi="Times New Roman" w:eastAsia="Arial" w:cs="Times New Roman"/>
          <w:sz w:val="21"/>
          <w:szCs w:val="22"/>
        </w:rPr>
        <w:br w:type="textWrapping"/>
      </w:r>
      <w:r>
        <w:rPr>
          <w:rFonts w:hint="default" w:ascii="Times New Roman" w:hAnsi="Times New Roman" w:eastAsia="Arial" w:cs="Times New Roman"/>
          <w:sz w:val="21"/>
          <w:szCs w:val="22"/>
        </w:rPr>
        <w:t xml:space="preserve">  Step 4 — Profile NLLB encoder on HTP; CPU beam search fallback if HTP unsupported.</w:t>
      </w:r>
      <w:r>
        <w:rPr>
          <w:rFonts w:hint="default" w:ascii="Times New Roman" w:hAnsi="Times New Roman" w:eastAsia="Arial" w:cs="Times New Roman"/>
          <w:sz w:val="21"/>
          <w:szCs w:val="22"/>
        </w:rPr>
        <w:br w:type="textWrapping"/>
      </w:r>
      <w:r>
        <w:rPr>
          <w:rFonts w:hint="default" w:ascii="Times New Roman" w:hAnsi="Times New Roman" w:eastAsia="Arial" w:cs="Times New Roman"/>
          <w:sz w:val="21"/>
          <w:szCs w:val="22"/>
        </w:rPr>
        <w:t xml:space="preserve">  Step 5 — End-to-end P50/P90 profiling on QCS6490; revise &lt;2.0 s target if measurement diverges.</w:t>
      </w:r>
      <w:r>
        <w:rPr>
          <w:rFonts w:hint="default" w:ascii="Times New Roman" w:hAnsi="Times New Roman" w:eastAsia="Arial" w:cs="Times New Roman"/>
          <w:sz w:val="21"/>
          <w:szCs w:val="22"/>
        </w:rPr>
        <w:br w:type="textWrapping"/>
      </w:r>
      <w:r>
        <w:rPr>
          <w:rFonts w:hint="default" w:ascii="Times New Roman" w:hAnsi="Times New Roman" w:eastAsia="Arial" w:cs="Times New Roman"/>
          <w:sz w:val="21"/>
          <w:szCs w:val="22"/>
        </w:rPr>
        <w:t>The &lt;2.0 s P90 figure remains a Team Target (T) until Phase 3 on-device measurement is complete.</w:t>
      </w:r>
    </w:p>
    <w:p w14:paraId="4EA33DF1">
      <w:pPr>
        <w:pStyle w:val="2"/>
        <w:keepNext/>
        <w:spacing w:before="120" w:after="100" w:line="360" w:lineRule="auto"/>
        <w:rPr>
          <w:rFonts w:hint="default" w:ascii="Times New Roman" w:hAnsi="Times New Roman" w:cs="Times New Roman"/>
          <w:sz w:val="36"/>
          <w:szCs w:val="36"/>
        </w:rPr>
      </w:pPr>
      <w:r>
        <w:rPr>
          <w:rFonts w:hint="default" w:ascii="Times New Roman" w:hAnsi="Times New Roman" w:eastAsia="Arial" w:cs="Times New Roman"/>
          <w:b/>
          <w:color w:val="0B2A5B"/>
          <w:sz w:val="36"/>
          <w:szCs w:val="36"/>
        </w:rPr>
        <w:t>Appendix B: Measured Evidence Summary (Phase 1)</w:t>
      </w:r>
    </w:p>
    <w:tbl>
      <w:tblPr>
        <w:tblStyle w:val="9"/>
        <w:tblW w:w="0" w:type="auto"/>
        <w:jc w:val="center"/>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Layout w:type="autofit"/>
        <w:tblCellMar>
          <w:top w:w="0" w:type="dxa"/>
          <w:left w:w="10" w:type="dxa"/>
          <w:bottom w:w="0" w:type="dxa"/>
          <w:right w:w="10" w:type="dxa"/>
        </w:tblCellMar>
      </w:tblPr>
      <w:tblGrid>
        <w:gridCol w:w="2550"/>
        <w:gridCol w:w="2550"/>
        <w:gridCol w:w="2550"/>
        <w:gridCol w:w="2550"/>
      </w:tblGrid>
      <w:tr w14:paraId="3227CE8B">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PrEx>
        <w:trPr>
          <w:tblHeader/>
          <w:jc w:val="center"/>
        </w:trPr>
        <w:tc>
          <w:tcPr>
            <w:tcW w:w="2550" w:type="dxa"/>
            <w:shd w:val="clear" w:color="auto" w:fill="0B2A5B"/>
            <w:tcMar>
              <w:top w:w="60" w:type="dxa"/>
              <w:left w:w="90" w:type="dxa"/>
              <w:bottom w:w="60" w:type="dxa"/>
              <w:right w:w="90" w:type="dxa"/>
            </w:tcMar>
            <w:vAlign w:val="center"/>
          </w:tcPr>
          <w:p w14:paraId="575815B9">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Experiment</w:t>
            </w:r>
          </w:p>
        </w:tc>
        <w:tc>
          <w:tcPr>
            <w:tcW w:w="2550" w:type="dxa"/>
            <w:shd w:val="clear" w:color="auto" w:fill="0B2A5B"/>
            <w:tcMar>
              <w:top w:w="60" w:type="dxa"/>
              <w:left w:w="90" w:type="dxa"/>
              <w:bottom w:w="60" w:type="dxa"/>
              <w:right w:w="90" w:type="dxa"/>
            </w:tcMar>
            <w:vAlign w:val="center"/>
          </w:tcPr>
          <w:p w14:paraId="50E15A3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Metric</w:t>
            </w:r>
          </w:p>
        </w:tc>
        <w:tc>
          <w:tcPr>
            <w:tcW w:w="2550" w:type="dxa"/>
            <w:shd w:val="clear" w:color="auto" w:fill="0B2A5B"/>
            <w:tcMar>
              <w:top w:w="60" w:type="dxa"/>
              <w:left w:w="90" w:type="dxa"/>
              <w:bottom w:w="60" w:type="dxa"/>
              <w:right w:w="90" w:type="dxa"/>
            </w:tcMar>
            <w:vAlign w:val="center"/>
          </w:tcPr>
          <w:p w14:paraId="5B70407F">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Value (M)</w:t>
            </w:r>
          </w:p>
        </w:tc>
        <w:tc>
          <w:tcPr>
            <w:tcW w:w="2550" w:type="dxa"/>
            <w:shd w:val="clear" w:color="auto" w:fill="0B2A5B"/>
            <w:tcMar>
              <w:top w:w="60" w:type="dxa"/>
              <w:left w:w="90" w:type="dxa"/>
              <w:bottom w:w="60" w:type="dxa"/>
              <w:right w:w="90" w:type="dxa"/>
            </w:tcMar>
            <w:vAlign w:val="center"/>
          </w:tcPr>
          <w:p w14:paraId="7CAD45C5">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b/>
                <w:color w:val="FFFFFF"/>
                <w:sz w:val="21"/>
                <w:szCs w:val="22"/>
              </w:rPr>
              <w:t>Notes</w:t>
            </w:r>
          </w:p>
        </w:tc>
      </w:tr>
      <w:tr w14:paraId="5624B922">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jc w:val="center"/>
        </w:trPr>
        <w:tc>
          <w:tcPr>
            <w:tcW w:w="2550" w:type="dxa"/>
            <w:shd w:val="clear" w:color="auto" w:fill="FFFFFF"/>
            <w:tcMar>
              <w:top w:w="60" w:type="dxa"/>
              <w:left w:w="90" w:type="dxa"/>
              <w:bottom w:w="60" w:type="dxa"/>
              <w:right w:w="90" w:type="dxa"/>
            </w:tcMar>
            <w:vAlign w:val="center"/>
          </w:tcPr>
          <w:p w14:paraId="78389C7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E1 — ASR Baseline</w:t>
            </w:r>
          </w:p>
        </w:tc>
        <w:tc>
          <w:tcPr>
            <w:tcW w:w="2550" w:type="dxa"/>
            <w:shd w:val="clear" w:color="auto" w:fill="FFFFFF"/>
            <w:tcMar>
              <w:top w:w="60" w:type="dxa"/>
              <w:left w:w="90" w:type="dxa"/>
              <w:bottom w:w="60" w:type="dxa"/>
              <w:right w:w="90" w:type="dxa"/>
            </w:tcMar>
            <w:vAlign w:val="center"/>
          </w:tcPr>
          <w:p w14:paraId="6AAD79F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WER (Whisper-small, zero-shot)</w:t>
            </w:r>
          </w:p>
        </w:tc>
        <w:tc>
          <w:tcPr>
            <w:tcW w:w="2550" w:type="dxa"/>
            <w:shd w:val="clear" w:color="auto" w:fill="FFFFFF"/>
            <w:tcMar>
              <w:top w:w="60" w:type="dxa"/>
              <w:left w:w="90" w:type="dxa"/>
              <w:bottom w:w="60" w:type="dxa"/>
              <w:right w:w="90" w:type="dxa"/>
            </w:tcMar>
            <w:vAlign w:val="center"/>
          </w:tcPr>
          <w:p w14:paraId="2A727C20">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75.8%</w:t>
            </w:r>
          </w:p>
        </w:tc>
        <w:tc>
          <w:tcPr>
            <w:tcW w:w="2550" w:type="dxa"/>
            <w:shd w:val="clear" w:color="auto" w:fill="FFFFFF"/>
            <w:tcMar>
              <w:top w:w="60" w:type="dxa"/>
              <w:left w:w="90" w:type="dxa"/>
              <w:bottom w:w="60" w:type="dxa"/>
              <w:right w:w="90" w:type="dxa"/>
            </w:tcMar>
            <w:vAlign w:val="center"/>
          </w:tcPr>
          <w:p w14:paraId="0E3E2A8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100 samples, VietMed test split. Fine-tuning required for &lt;15% target.</w:t>
            </w:r>
          </w:p>
        </w:tc>
      </w:tr>
      <w:tr w14:paraId="7DD15456">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jc w:val="center"/>
        </w:trPr>
        <w:tc>
          <w:tcPr>
            <w:tcW w:w="2550" w:type="dxa"/>
            <w:shd w:val="clear" w:color="auto" w:fill="F1F4F7"/>
            <w:tcMar>
              <w:top w:w="60" w:type="dxa"/>
              <w:left w:w="90" w:type="dxa"/>
              <w:bottom w:w="60" w:type="dxa"/>
              <w:right w:w="90" w:type="dxa"/>
            </w:tcMar>
            <w:vAlign w:val="center"/>
          </w:tcPr>
          <w:p w14:paraId="6542A8C6">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E2 — NMT Bake-off</w:t>
            </w:r>
          </w:p>
        </w:tc>
        <w:tc>
          <w:tcPr>
            <w:tcW w:w="2550" w:type="dxa"/>
            <w:shd w:val="clear" w:color="auto" w:fill="F1F4F7"/>
            <w:tcMar>
              <w:top w:w="60" w:type="dxa"/>
              <w:left w:w="90" w:type="dxa"/>
              <w:bottom w:w="60" w:type="dxa"/>
              <w:right w:w="90" w:type="dxa"/>
            </w:tcMar>
            <w:vAlign w:val="center"/>
          </w:tcPr>
          <w:p w14:paraId="44E9D2E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BLEU (vi→en, clinical)</w:t>
            </w:r>
          </w:p>
        </w:tc>
        <w:tc>
          <w:tcPr>
            <w:tcW w:w="2550" w:type="dxa"/>
            <w:shd w:val="clear" w:color="auto" w:fill="F1F4F7"/>
            <w:tcMar>
              <w:top w:w="60" w:type="dxa"/>
              <w:left w:w="90" w:type="dxa"/>
              <w:bottom w:w="60" w:type="dxa"/>
              <w:right w:w="90" w:type="dxa"/>
            </w:tcMar>
            <w:vAlign w:val="center"/>
          </w:tcPr>
          <w:p w14:paraId="070F22B2">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NLLB 25.9 vs OPUS 15.9</w:t>
            </w:r>
          </w:p>
        </w:tc>
        <w:tc>
          <w:tcPr>
            <w:tcW w:w="2550" w:type="dxa"/>
            <w:shd w:val="clear" w:color="auto" w:fill="F1F4F7"/>
            <w:tcMar>
              <w:top w:w="60" w:type="dxa"/>
              <w:left w:w="90" w:type="dxa"/>
              <w:bottom w:w="60" w:type="dxa"/>
              <w:right w:w="90" w:type="dxa"/>
            </w:tcMar>
            <w:vAlign w:val="center"/>
          </w:tcPr>
          <w:p w14:paraId="5DB8CE6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50-pair eval set; NLLB chosen as primary model.</w:t>
            </w:r>
          </w:p>
        </w:tc>
      </w:tr>
      <w:tr w14:paraId="534BC64E">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jc w:val="center"/>
        </w:trPr>
        <w:tc>
          <w:tcPr>
            <w:tcW w:w="2550" w:type="dxa"/>
            <w:shd w:val="clear" w:color="auto" w:fill="FFFFFF"/>
            <w:tcMar>
              <w:top w:w="60" w:type="dxa"/>
              <w:left w:w="90" w:type="dxa"/>
              <w:bottom w:w="60" w:type="dxa"/>
              <w:right w:w="90" w:type="dxa"/>
            </w:tcMar>
            <w:vAlign w:val="center"/>
          </w:tcPr>
          <w:p w14:paraId="60E5C12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E3 — Safety Ablation</w:t>
            </w:r>
          </w:p>
        </w:tc>
        <w:tc>
          <w:tcPr>
            <w:tcW w:w="2550" w:type="dxa"/>
            <w:shd w:val="clear" w:color="auto" w:fill="FFFFFF"/>
            <w:tcMar>
              <w:top w:w="60" w:type="dxa"/>
              <w:left w:w="90" w:type="dxa"/>
              <w:bottom w:w="60" w:type="dxa"/>
              <w:right w:w="90" w:type="dxa"/>
            </w:tcMar>
            <w:vAlign w:val="center"/>
          </w:tcPr>
          <w:p w14:paraId="5A004F7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Entity Preservation Rate</w:t>
            </w:r>
          </w:p>
        </w:tc>
        <w:tc>
          <w:tcPr>
            <w:tcW w:w="2550" w:type="dxa"/>
            <w:shd w:val="clear" w:color="auto" w:fill="FFFFFF"/>
            <w:tcMar>
              <w:top w:w="60" w:type="dxa"/>
              <w:left w:w="90" w:type="dxa"/>
              <w:bottom w:w="60" w:type="dxa"/>
              <w:right w:w="90" w:type="dxa"/>
            </w:tcMar>
            <w:vAlign w:val="center"/>
          </w:tcPr>
          <w:p w14:paraId="24951503">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96.7% (raw) → 100% (validated)</w:t>
            </w:r>
          </w:p>
        </w:tc>
        <w:tc>
          <w:tcPr>
            <w:tcW w:w="2550" w:type="dxa"/>
            <w:shd w:val="clear" w:color="auto" w:fill="FFFFFF"/>
            <w:tcMar>
              <w:top w:w="60" w:type="dxa"/>
              <w:left w:w="90" w:type="dxa"/>
              <w:bottom w:w="60" w:type="dxa"/>
              <w:right w:w="90" w:type="dxa"/>
            </w:tcMar>
            <w:vAlign w:val="center"/>
          </w:tcPr>
          <w:p w14:paraId="07FE983E">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60-entity test set; post-translation regex validator confirmed.</w:t>
            </w:r>
          </w:p>
        </w:tc>
      </w:tr>
      <w:tr w14:paraId="4C932489">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jc w:val="center"/>
        </w:trPr>
        <w:tc>
          <w:tcPr>
            <w:tcW w:w="2550" w:type="dxa"/>
            <w:shd w:val="clear" w:color="auto" w:fill="F1F4F7"/>
            <w:tcMar>
              <w:top w:w="60" w:type="dxa"/>
              <w:left w:w="90" w:type="dxa"/>
              <w:bottom w:w="60" w:type="dxa"/>
              <w:right w:w="90" w:type="dxa"/>
            </w:tcMar>
            <w:vAlign w:val="center"/>
          </w:tcPr>
          <w:p w14:paraId="725D237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E4 — Emergency Retrieval</w:t>
            </w:r>
          </w:p>
        </w:tc>
        <w:tc>
          <w:tcPr>
            <w:tcW w:w="2550" w:type="dxa"/>
            <w:shd w:val="clear" w:color="auto" w:fill="F1F4F7"/>
            <w:tcMar>
              <w:top w:w="60" w:type="dxa"/>
              <w:left w:w="90" w:type="dxa"/>
              <w:bottom w:w="60" w:type="dxa"/>
              <w:right w:w="90" w:type="dxa"/>
            </w:tcMar>
            <w:vAlign w:val="center"/>
          </w:tcPr>
          <w:p w14:paraId="43264721">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Precision / P99 Latency</w:t>
            </w:r>
          </w:p>
        </w:tc>
        <w:tc>
          <w:tcPr>
            <w:tcW w:w="2550" w:type="dxa"/>
            <w:shd w:val="clear" w:color="auto" w:fill="F1F4F7"/>
            <w:tcMar>
              <w:top w:w="60" w:type="dxa"/>
              <w:left w:w="90" w:type="dxa"/>
              <w:bottom w:w="60" w:type="dxa"/>
              <w:right w:w="90" w:type="dxa"/>
            </w:tcMar>
            <w:vAlign w:val="center"/>
          </w:tcPr>
          <w:p w14:paraId="715DA1E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100% / 0.21 ms</w:t>
            </w:r>
          </w:p>
        </w:tc>
        <w:tc>
          <w:tcPr>
            <w:tcW w:w="2550" w:type="dxa"/>
            <w:shd w:val="clear" w:color="auto" w:fill="F1F4F7"/>
            <w:tcMar>
              <w:top w:w="60" w:type="dxa"/>
              <w:left w:w="90" w:type="dxa"/>
              <w:bottom w:w="60" w:type="dxa"/>
              <w:right w:w="90" w:type="dxa"/>
            </w:tcMar>
            <w:vAlign w:val="center"/>
          </w:tcPr>
          <w:p w14:paraId="3AB6F2BB">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61-phrase DB, 100 queries; deterministic retrieval verified.</w:t>
            </w:r>
          </w:p>
        </w:tc>
      </w:tr>
      <w:tr w14:paraId="471373ED">
        <w:tblPrEx>
          <w:tblBorders>
            <w:top w:val="single" w:color="C8D2DC" w:sz="4" w:space="0"/>
            <w:left w:val="single" w:color="C8D2DC" w:sz="4" w:space="0"/>
            <w:bottom w:val="single" w:color="C8D2DC" w:sz="4" w:space="0"/>
            <w:right w:val="single" w:color="C8D2DC" w:sz="4" w:space="0"/>
            <w:insideH w:val="single" w:color="C8D2DC" w:sz="4" w:space="0"/>
            <w:insideV w:val="single" w:color="C8D2DC" w:sz="4" w:space="0"/>
          </w:tblBorders>
          <w:tblCellMar>
            <w:top w:w="0" w:type="dxa"/>
            <w:left w:w="10" w:type="dxa"/>
            <w:bottom w:w="0" w:type="dxa"/>
            <w:right w:w="10" w:type="dxa"/>
          </w:tblCellMar>
        </w:tblPrEx>
        <w:trPr>
          <w:jc w:val="center"/>
        </w:trPr>
        <w:tc>
          <w:tcPr>
            <w:tcW w:w="2550" w:type="dxa"/>
            <w:shd w:val="clear" w:color="auto" w:fill="FFFFFF"/>
            <w:tcMar>
              <w:top w:w="60" w:type="dxa"/>
              <w:left w:w="90" w:type="dxa"/>
              <w:bottom w:w="60" w:type="dxa"/>
              <w:right w:w="90" w:type="dxa"/>
            </w:tcMar>
            <w:vAlign w:val="center"/>
          </w:tcPr>
          <w:p w14:paraId="57CDE134">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E5 — E2E Smoke Test</w:t>
            </w:r>
          </w:p>
        </w:tc>
        <w:tc>
          <w:tcPr>
            <w:tcW w:w="2550" w:type="dxa"/>
            <w:shd w:val="clear" w:color="auto" w:fill="FFFFFF"/>
            <w:tcMar>
              <w:top w:w="60" w:type="dxa"/>
              <w:left w:w="90" w:type="dxa"/>
              <w:bottom w:w="60" w:type="dxa"/>
              <w:right w:w="90" w:type="dxa"/>
            </w:tcMar>
            <w:vAlign w:val="center"/>
          </w:tcPr>
          <w:p w14:paraId="6E85D278">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Functional correctness</w:t>
            </w:r>
          </w:p>
        </w:tc>
        <w:tc>
          <w:tcPr>
            <w:tcW w:w="2550" w:type="dxa"/>
            <w:shd w:val="clear" w:color="auto" w:fill="FFFFFF"/>
            <w:tcMar>
              <w:top w:w="60" w:type="dxa"/>
              <w:left w:w="90" w:type="dxa"/>
              <w:bottom w:w="60" w:type="dxa"/>
              <w:right w:w="90" w:type="dxa"/>
            </w:tcMar>
            <w:vAlign w:val="center"/>
          </w:tcPr>
          <w:p w14:paraId="4E59982C">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4/4 scenarios passed</w:t>
            </w:r>
          </w:p>
        </w:tc>
        <w:tc>
          <w:tcPr>
            <w:tcW w:w="2550" w:type="dxa"/>
            <w:shd w:val="clear" w:color="auto" w:fill="FFFFFF"/>
            <w:tcMar>
              <w:top w:w="60" w:type="dxa"/>
              <w:left w:w="90" w:type="dxa"/>
              <w:bottom w:w="60" w:type="dxa"/>
              <w:right w:w="90" w:type="dxa"/>
            </w:tcMar>
            <w:vAlign w:val="center"/>
          </w:tcPr>
          <w:p w14:paraId="631CC8E7">
            <w:pPr>
              <w:spacing w:before="0" w:after="0" w:line="360" w:lineRule="auto"/>
              <w:rPr>
                <w:rFonts w:hint="default" w:ascii="Times New Roman" w:hAnsi="Times New Roman" w:cs="Times New Roman"/>
                <w:sz w:val="21"/>
                <w:szCs w:val="22"/>
              </w:rPr>
            </w:pPr>
            <w:r>
              <w:rPr>
                <w:rFonts w:hint="default" w:ascii="Times New Roman" w:hAnsi="Times New Roman" w:eastAsia="Arial" w:cs="Times New Roman"/>
                <w:color w:val="243447"/>
                <w:sz w:val="21"/>
                <w:szCs w:val="22"/>
              </w:rPr>
              <w:t>Retrieval-first triggered for emergency phrase (Scenario C).</w:t>
            </w:r>
          </w:p>
        </w:tc>
      </w:tr>
    </w:tbl>
    <w:p w14:paraId="73B5B35D">
      <w:pPr>
        <w:spacing w:line="360" w:lineRule="auto"/>
        <w:rPr>
          <w:rFonts w:hint="default" w:ascii="Times New Roman" w:hAnsi="Times New Roman" w:cs="Times New Roman"/>
          <w:sz w:val="21"/>
          <w:szCs w:val="22"/>
        </w:rPr>
      </w:pPr>
      <w:bookmarkStart w:id="5" w:name="_GoBack"/>
      <w:bookmarkEnd w:id="5"/>
    </w:p>
    <w:sectPr>
      <w:headerReference r:id="rId6" w:type="first"/>
      <w:footerReference r:id="rId8" w:type="first"/>
      <w:headerReference r:id="rId5" w:type="default"/>
      <w:footerReference r:id="rId7" w:type="default"/>
      <w:pgSz w:w="12240" w:h="15840"/>
      <w:pgMar w:top="1134" w:right="1020" w:bottom="1134" w:left="102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3E3F0AE-16D7-4EB5-8DDB-64597BDA43B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F123ABF-863B-4089-B5F1-EF420127A14E}"/>
  </w:font>
  <w:font w:name="Wingdings">
    <w:panose1 w:val="05000000000000000000"/>
    <w:charset w:val="02"/>
    <w:family w:val="auto"/>
    <w:pitch w:val="default"/>
    <w:sig w:usb0="00000000" w:usb1="00000000" w:usb2="00000000" w:usb3="00000000" w:csb0="80000000" w:csb1="00000000"/>
    <w:embedRegular r:id="rId3" w:fontKey="{3FD745C5-DBFD-4E03-808F-22486178EB34}"/>
  </w:font>
  <w:font w:name="Calibri">
    <w:panose1 w:val="020F0502020204030204"/>
    <w:charset w:val="00"/>
    <w:family w:val="swiss"/>
    <w:pitch w:val="default"/>
    <w:sig w:usb0="E4002EFF" w:usb1="C200247B" w:usb2="00000009" w:usb3="00000000" w:csb0="200001FF" w:csb1="00000000"/>
    <w:embedRegular r:id="rId4" w:fontKey="{8E4DEE70-9B26-491C-9506-93103D9E91A5}"/>
  </w:font>
  <w:font w:name="Calibri">
    <w:panose1 w:val="020F0502020204030204"/>
    <w:charset w:val="86"/>
    <w:family w:val="swiss"/>
    <w:pitch w:val="default"/>
    <w:sig w:usb0="E4002EFF" w:usb1="C200247B" w:usb2="00000009" w:usb3="00000000" w:csb0="200001FF" w:csb1="00000000"/>
    <w:embedRegular r:id="rId5" w:fontKey="{41BDB7A0-7A3F-49C0-8FC6-47704FF57B8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9">
    <w:pPr>
      <w:spacing w:after="0" w:line="276" w:lineRule="auto"/>
      <w:rPr>
        <w:rFonts w:ascii="Arial" w:hAnsi="Arial" w:eastAsia="Arial" w:cs="Arial"/>
      </w:rPr>
    </w:pPr>
  </w:p>
  <w:p w14:paraId="0000019A">
    <w:pPr>
      <w:jc w:val="right"/>
      <w:rPr>
        <w:rFonts w:ascii="Arial" w:hAnsi="Arial" w:eastAsia="Arial" w:cs="Arial"/>
        <w:color w:val="666666"/>
      </w:rPr>
    </w:pPr>
    <w:r>
      <w:rPr>
        <w:rFonts w:ascii="Arial" w:hAnsi="Arial" w:eastAsia="Arial" w:cs="Arial"/>
        <w:color w:val="666666"/>
      </w:rPr>
      <w:fldChar w:fldCharType="begin"/>
    </w:r>
    <w:r>
      <w:rPr>
        <w:rFonts w:ascii="Arial" w:hAnsi="Arial" w:eastAsia="Arial" w:cs="Arial"/>
        <w:color w:val="666666"/>
      </w:rPr>
      <w:instrText xml:space="preserve">PAGE</w:instrText>
    </w:r>
    <w:r>
      <w:rPr>
        <w:rFonts w:ascii="Arial" w:hAnsi="Arial" w:eastAsia="Arial" w:cs="Arial"/>
        <w:color w:val="666666"/>
      </w:rPr>
      <w:fldChar w:fldCharType="separate"/>
    </w:r>
    <w:r>
      <w:rPr>
        <w:rFonts w:ascii="Arial" w:hAnsi="Arial" w:eastAsia="Arial" w:cs="Arial"/>
        <w:color w:val="66666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E">
    <w:pPr>
      <w:jc w:val="right"/>
      <w:rPr>
        <w:rFonts w:ascii="Arial" w:hAnsi="Arial" w:eastAsia="Arial" w:cs="Arial"/>
        <w:i/>
        <w:iCs/>
        <w:color w:val="666666"/>
      </w:rPr>
    </w:pPr>
    <w:r>
      <w:rPr>
        <w:rFonts w:ascii="Arial" w:hAnsi="Arial" w:eastAsia="Arial" w:cs="Arial"/>
        <w:i/>
        <w:iCs/>
      </w:rPr>
      <w:fldChar w:fldCharType="begin"/>
    </w:r>
    <w:r>
      <w:rPr>
        <w:rFonts w:ascii="Arial" w:hAnsi="Arial" w:eastAsia="Arial" w:cs="Arial"/>
        <w:i/>
        <w:iCs/>
      </w:rPr>
      <w:instrText xml:space="preserve">PAGE</w:instrText>
    </w:r>
    <w:r>
      <w:rPr>
        <w:rFonts w:ascii="Arial" w:hAnsi="Arial" w:eastAsia="Arial" w:cs="Arial"/>
        <w:i/>
        <w:iCs/>
      </w:rPr>
      <w:fldChar w:fldCharType="separate"/>
    </w:r>
    <w:r>
      <w:rPr>
        <w:rFonts w:ascii="Arial" w:hAnsi="Arial" w:eastAsia="Arial" w:cs="Arial"/>
        <w:i/>
        <w:i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B">
    <w:pPr>
      <w:rPr>
        <w:rFonts w:ascii="Arial" w:hAnsi="Arial" w:eastAsia="Arial" w:cs="Arial"/>
        <w:i/>
        <w:iCs/>
        <w:color w:val="CCCCCC"/>
      </w:rPr>
    </w:pPr>
    <w:r>
      <w:rPr>
        <w:rFonts w:ascii="Arial" w:hAnsi="Arial" w:eastAsia="Arial" w:cs="Arial"/>
        <w:i/>
        <w:iCs/>
        <w:rtl w:val="0"/>
      </w:rPr>
      <w:tab/>
    </w:r>
    <w:r>
      <w:rPr>
        <w:rFonts w:ascii="Arial" w:hAnsi="Arial" w:eastAsia="Arial" w:cs="Arial"/>
        <w:i/>
        <w:iCs/>
        <w:rtl w:val="0"/>
      </w:rPr>
      <w:tab/>
    </w:r>
    <w:r>
      <w:rPr>
        <w:rFonts w:ascii="Arial" w:hAnsi="Arial" w:eastAsia="Arial" w:cs="Arial"/>
        <w:i/>
        <w:iCs/>
        <w:rtl w:val="0"/>
      </w:rPr>
      <w:tab/>
    </w:r>
    <w:r>
      <w:rPr>
        <w:rFonts w:ascii="Arial" w:hAnsi="Arial" w:eastAsia="Arial" w:cs="Arial"/>
        <w:i/>
        <w:iCs/>
        <w:rtl w:val="0"/>
      </w:rPr>
      <w:tab/>
    </w:r>
    <w:r>
      <w:rPr>
        <w:rFonts w:ascii="Arial" w:hAnsi="Arial" w:eastAsia="Arial" w:cs="Arial"/>
        <w:i/>
        <w:iCs/>
        <w:rtl w:val="0"/>
      </w:rPr>
      <w:tab/>
    </w:r>
    <w:r>
      <w:rPr>
        <w:rFonts w:ascii="Arial" w:hAnsi="Arial" w:eastAsia="Arial" w:cs="Arial"/>
        <w:i/>
        <w:iCs/>
        <w:rtl w:val="0"/>
      </w:rPr>
      <w:tab/>
    </w:r>
    <w:r>
      <w:rPr>
        <w:rFonts w:ascii="Arial" w:hAnsi="Arial" w:eastAsia="Arial" w:cs="Arial"/>
        <w:i/>
        <w:iCs/>
        <w:rtl w:val="0"/>
      </w:rPr>
      <w:tab/>
    </w:r>
    <w:r>
      <w:rPr>
        <w:rFonts w:ascii="Arial" w:hAnsi="Arial" w:eastAsia="Arial" w:cs="Arial"/>
        <w:i/>
        <w:iCs/>
        <w:rtl w:val="0"/>
      </w:rPr>
      <w:tab/>
    </w:r>
    <w:r>
      <w:rPr>
        <w:rFonts w:ascii="Arial" w:hAnsi="Arial" w:eastAsia="Arial" w:cs="Arial"/>
        <w:i/>
        <w:iCs/>
        <w:rtl w:val="0"/>
      </w:rPr>
      <w:t xml:space="preserve">    </w:t>
    </w:r>
    <w:r>
      <w:rPr>
        <w:rFonts w:ascii="Arial" w:hAnsi="Arial" w:eastAsia="Arial" w:cs="Arial"/>
        <w:i/>
        <w:iCs/>
        <w:color w:val="CCCCCC"/>
        <w:rtl w:val="0"/>
      </w:rPr>
      <w:t>Technical Submission - OneVoice AI Challenge</w:t>
    </w:r>
    <w:r>
      <w:drawing>
        <wp:anchor distT="114300" distB="114300" distL="114300" distR="114300" simplePos="0" relativeHeight="251659264" behindDoc="0" locked="0" layoutInCell="1" allowOverlap="1">
          <wp:simplePos x="0" y="0"/>
          <wp:positionH relativeFrom="column">
            <wp:posOffset>19050</wp:posOffset>
          </wp:positionH>
          <wp:positionV relativeFrom="paragraph">
            <wp:posOffset>-33020</wp:posOffset>
          </wp:positionV>
          <wp:extent cx="1207770" cy="31940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a:stretch>
                    <a:fillRect/>
                  </a:stretch>
                </pic:blipFill>
                <pic:spPr>
                  <a:xfrm>
                    <a:off x="0" y="0"/>
                    <a:ext cx="1207974" cy="319088"/>
                  </a:xfrm>
                  <a:prstGeom prst="rect">
                    <a:avLst/>
                  </a:prstGeom>
                </pic:spPr>
              </pic:pic>
            </a:graphicData>
          </a:graphic>
        </wp:anchor>
      </w:drawing>
    </w:r>
  </w:p>
  <w:p w14:paraId="0000019C">
    <w:pPr>
      <w:rPr>
        <w:rFonts w:ascii="Arial" w:hAnsi="Arial" w:eastAsia="Arial" w:cs="Arial"/>
        <w:i/>
        <w:iCs/>
        <w:color w:val="CCCCCC"/>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D">
    <w:r>
      <w:drawing>
        <wp:anchor distT="114300" distB="114300" distL="114300" distR="114300" simplePos="0" relativeHeight="251659264" behindDoc="0" locked="0" layoutInCell="1" allowOverlap="1">
          <wp:simplePos x="0" y="0"/>
          <wp:positionH relativeFrom="column">
            <wp:posOffset>-647065</wp:posOffset>
          </wp:positionH>
          <wp:positionV relativeFrom="paragraph">
            <wp:posOffset>-342265</wp:posOffset>
          </wp:positionV>
          <wp:extent cx="7772400" cy="187198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
                  <a:srcRect/>
                  <a:stretch>
                    <a:fillRect/>
                  </a:stretch>
                </pic:blipFill>
                <pic:spPr>
                  <a:xfrm>
                    <a:off x="0" y="0"/>
                    <a:ext cx="7772158" cy="1871663"/>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180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7E31D53"/>
    <w:rsid w:val="540F12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color w:val="243447"/>
      <w:sz w:val="18"/>
      <w:lang w:val="en"/>
    </w:rPr>
  </w:style>
  <w:style w:type="paragraph" w:styleId="2">
    <w:name w:val="heading 1"/>
    <w:basedOn w:val="1"/>
    <w:next w:val="1"/>
    <w:qFormat/>
    <w:uiPriority w:val="0"/>
    <w:pPr>
      <w:keepNext/>
      <w:keepLines/>
      <w:spacing w:before="480" w:after="0"/>
    </w:pPr>
    <w:rPr>
      <w:rFonts w:ascii="Arial" w:hAnsi="Arial" w:eastAsia="Arial" w:cs="Arial"/>
      <w:b/>
      <w:bCs/>
      <w:color w:val="0B2A5B"/>
      <w:sz w:val="28"/>
      <w:szCs w:val="28"/>
    </w:rPr>
  </w:style>
  <w:style w:type="paragraph" w:styleId="3">
    <w:name w:val="heading 2"/>
    <w:basedOn w:val="1"/>
    <w:next w:val="1"/>
    <w:uiPriority w:val="0"/>
    <w:pPr>
      <w:keepNext/>
      <w:keepLines/>
      <w:spacing w:before="200" w:after="0"/>
    </w:pPr>
    <w:rPr>
      <w:rFonts w:ascii="Arial" w:hAnsi="Arial" w:eastAsia="Arial" w:cs="Arial"/>
      <w:b/>
      <w:bCs/>
      <w:color w:val="00A9E0"/>
      <w:sz w:val="22"/>
      <w:szCs w:val="26"/>
    </w:rPr>
  </w:style>
  <w:style w:type="paragraph" w:styleId="4">
    <w:name w:val="heading 3"/>
    <w:basedOn w:val="1"/>
    <w:next w:val="1"/>
    <w:uiPriority w:val="0"/>
    <w:pPr>
      <w:keepNext/>
      <w:keepLines/>
      <w:spacing w:before="200" w:after="0"/>
    </w:pPr>
    <w:rPr>
      <w:rFonts w:ascii="Arial" w:hAnsi="Arial" w:eastAsia="Arial" w:cs="Arial"/>
      <w:b/>
      <w:bCs/>
      <w:color w:val="0B2A5B"/>
      <w:sz w:val="20"/>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15" w:type="dxa"/>
        <w:bottom w:w="0" w:type="dxa"/>
        <w:right w:w="115" w:type="dxa"/>
      </w:tblCellMar>
    </w:tbl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style>
  <w:style w:type="table" w:customStyle="1" w:styleId="15">
    <w:name w:val="_Style 12"/>
    <w:basedOn w:val="12"/>
    <w:qFormat/>
    <w:uiPriority w:val="0"/>
    <w:tblPr>
      <w:tblCellMar>
        <w:top w:w="0" w:type="dxa"/>
        <w:left w:w="115" w:type="dxa"/>
        <w:bottom w:w="0" w:type="dxa"/>
        <w:right w:w="115" w:type="dxa"/>
      </w:tblCellMar>
    </w:tblPr>
  </w:style>
  <w:style w:type="table" w:customStyle="1" w:styleId="16">
    <w:name w:val="_Style 13"/>
    <w:basedOn w:val="12"/>
    <w:qFormat/>
    <w:uiPriority w:val="0"/>
    <w:tblPr>
      <w:tblCellMar>
        <w:top w:w="0" w:type="dxa"/>
        <w:left w:w="115" w:type="dxa"/>
        <w:bottom w:w="0" w:type="dxa"/>
        <w:right w:w="115" w:type="dxa"/>
      </w:tblCellMar>
    </w:tblPr>
  </w:style>
  <w:style w:type="table" w:customStyle="1" w:styleId="17">
    <w:name w:val="_Style 14"/>
    <w:basedOn w:val="12"/>
    <w:qFormat/>
    <w:uiPriority w:val="0"/>
    <w:pPr>
      <w:spacing w:after="0" w:line="240" w:lineRule="auto"/>
    </w:pPr>
    <w:tblPr>
      <w:tblCellMar>
        <w:top w:w="0" w:type="dxa"/>
        <w:left w:w="108" w:type="dxa"/>
        <w:bottom w:w="0" w:type="dxa"/>
        <w:right w:w="108" w:type="dxa"/>
      </w:tblCellMar>
    </w:tblPr>
  </w:style>
  <w:style w:type="table" w:customStyle="1" w:styleId="18">
    <w:name w:val="_Style 15"/>
    <w:basedOn w:val="12"/>
    <w:uiPriority w:val="0"/>
    <w:pPr>
      <w:spacing w:after="0" w:line="240" w:lineRule="auto"/>
    </w:pPr>
    <w:tblPr>
      <w:tblCellMar>
        <w:top w:w="0" w:type="dxa"/>
        <w:left w:w="108" w:type="dxa"/>
        <w:bottom w:w="0" w:type="dxa"/>
        <w:right w:w="108" w:type="dxa"/>
      </w:tblCellMar>
    </w:tblPr>
  </w:style>
  <w:style w:type="table" w:customStyle="1" w:styleId="19">
    <w:name w:val="_Style 16"/>
    <w:basedOn w:val="12"/>
    <w:qFormat/>
    <w:uiPriority w:val="0"/>
    <w:pPr>
      <w:spacing w:after="0" w:line="240" w:lineRule="auto"/>
    </w:pPr>
    <w:tblPr>
      <w:tblCellMar>
        <w:top w:w="0" w:type="dxa"/>
        <w:left w:w="108" w:type="dxa"/>
        <w:bottom w:w="0" w:type="dxa"/>
        <w:right w:w="108" w:type="dxa"/>
      </w:tblCellMar>
    </w:tblPr>
  </w:style>
  <w:style w:type="table" w:customStyle="1" w:styleId="20">
    <w:name w:val="_Style 17"/>
    <w:basedOn w:val="12"/>
    <w:qFormat/>
    <w:uiPriority w:val="0"/>
    <w:pPr>
      <w:spacing w:after="0" w:line="240" w:lineRule="auto"/>
    </w:pPr>
    <w:tblPr>
      <w:tblCellMar>
        <w:top w:w="0" w:type="dxa"/>
        <w:left w:w="108" w:type="dxa"/>
        <w:bottom w:w="0" w:type="dxa"/>
        <w:right w:w="108" w:type="dxa"/>
      </w:tblCellMar>
    </w:tblPr>
  </w:style>
  <w:style w:type="table" w:customStyle="1" w:styleId="21">
    <w:name w:val="_Style 18"/>
    <w:basedOn w:val="12"/>
    <w:qFormat/>
    <w:uiPriority w:val="0"/>
    <w:tblPr>
      <w:tblCellMar>
        <w:top w:w="0" w:type="dxa"/>
        <w:left w:w="115" w:type="dxa"/>
        <w:bottom w:w="0" w:type="dxa"/>
        <w:right w:w="115" w:type="dxa"/>
      </w:tblCellMar>
    </w:tblPr>
  </w:style>
  <w:style w:type="table" w:customStyle="1" w:styleId="22">
    <w:name w:val="_Style 19"/>
    <w:basedOn w:val="12"/>
    <w:qFormat/>
    <w:uiPriority w:val="0"/>
    <w:pPr>
      <w:spacing w:after="0" w:line="240" w:lineRule="auto"/>
    </w:pPr>
    <w:tblPr>
      <w:tblCellMar>
        <w:top w:w="0" w:type="dxa"/>
        <w:left w:w="108" w:type="dxa"/>
        <w:bottom w:w="0" w:type="dxa"/>
        <w:right w:w="108" w:type="dxa"/>
      </w:tblCellMar>
    </w:tblPr>
  </w:style>
  <w:style w:type="table" w:customStyle="1" w:styleId="23">
    <w:name w:val="_Style 20"/>
    <w:basedOn w:val="12"/>
    <w:qFormat/>
    <w:uiPriority w:val="0"/>
    <w:pPr>
      <w:spacing w:after="0" w:line="240" w:lineRule="auto"/>
    </w:pPr>
    <w:tblPr>
      <w:tblCellMar>
        <w:top w:w="0" w:type="dxa"/>
        <w:left w:w="108" w:type="dxa"/>
        <w:bottom w:w="0" w:type="dxa"/>
        <w:right w:w="108" w:type="dxa"/>
      </w:tblCellMar>
    </w:tblPr>
  </w:style>
  <w:style w:type="table" w:customStyle="1" w:styleId="24">
    <w:name w:val="_Style 21"/>
    <w:basedOn w:val="12"/>
    <w:uiPriority w:val="0"/>
    <w:pPr>
      <w:spacing w:after="0" w:line="240" w:lineRule="auto"/>
    </w:pPr>
    <w:tblPr>
      <w:tblCellMar>
        <w:top w:w="0" w:type="dxa"/>
        <w:left w:w="108" w:type="dxa"/>
        <w:bottom w:w="0" w:type="dxa"/>
        <w:right w:w="108" w:type="dxa"/>
      </w:tblCellMar>
    </w:tblPr>
  </w:style>
  <w:style w:type="table" w:customStyle="1" w:styleId="25">
    <w:name w:val="_Style 22"/>
    <w:basedOn w:val="12"/>
    <w:qFormat/>
    <w:uiPriority w:val="0"/>
    <w:tblPr>
      <w:tblCellMar>
        <w:top w:w="80" w:type="dxa"/>
        <w:left w:w="160" w:type="dxa"/>
        <w:bottom w:w="80" w:type="dxa"/>
        <w:right w:w="160" w:type="dxa"/>
      </w:tblCellMar>
    </w:tblPr>
  </w:style>
  <w:style w:type="table" w:customStyle="1" w:styleId="26">
    <w:name w:val="_Style 23"/>
    <w:basedOn w:val="12"/>
    <w:qFormat/>
    <w:uiPriority w:val="0"/>
    <w:tblPr>
      <w:tblCellMar>
        <w:top w:w="0" w:type="dxa"/>
        <w:left w:w="10" w:type="dxa"/>
        <w:bottom w:w="0" w:type="dxa"/>
        <w:right w:w="10" w:type="dxa"/>
      </w:tblCellMar>
    </w:tblPr>
  </w:style>
  <w:style w:type="table" w:customStyle="1" w:styleId="27">
    <w:name w:val="_Style 24"/>
    <w:basedOn w:val="12"/>
    <w:qFormat/>
    <w:uiPriority w:val="0"/>
    <w:pPr>
      <w:spacing w:after="0" w:line="240" w:lineRule="auto"/>
    </w:pPr>
    <w:tblPr>
      <w:tblCellMar>
        <w:top w:w="0" w:type="dxa"/>
        <w:left w:w="108" w:type="dxa"/>
        <w:bottom w:w="0" w:type="dxa"/>
        <w:right w:w="108" w:type="dxa"/>
      </w:tblCellMar>
    </w:tblPr>
  </w:style>
  <w:style w:type="table" w:customStyle="1" w:styleId="28">
    <w:name w:val="_Style 25"/>
    <w:basedOn w:val="12"/>
    <w:qFormat/>
    <w:uiPriority w:val="0"/>
    <w:pPr>
      <w:spacing w:after="0" w:line="240" w:lineRule="auto"/>
    </w:pPr>
    <w:tblPr>
      <w:tblCellMar>
        <w:top w:w="0" w:type="dxa"/>
        <w:left w:w="108" w:type="dxa"/>
        <w:bottom w:w="0" w:type="dxa"/>
        <w:right w:w="108" w:type="dxa"/>
      </w:tblCellMar>
    </w:tblPr>
  </w:style>
  <w:style w:type="table" w:customStyle="1" w:styleId="29">
    <w:name w:val="_Style 26"/>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16</Pages>
  <Words>3553</Words>
  <Characters>21617</Characters>
  <TotalTime>8</TotalTime>
  <ScaleCrop>false</ScaleCrop>
  <LinksUpToDate>false</LinksUpToDate>
  <CharactersWithSpaces>24824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2026-08-21T15:38:00Z</dcterms:created>
  <dc:creator>nguye</dc:creator>
  <cp:lastModifiedBy>NGỌC NGUYỄN NHẬT</cp:lastModifiedBy>
  <dcterms:modified xsi:type="dcterms:W3CDTF">2026-08-21T16:31:52Z</dcterms:modified>
  <dc:title>Word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eyJoZGlkIjoiY2M0MDUwZmQxYmRiYzdmZDllZTBjOGFkY2VmMGJjNjgiLCJ1c2VySWQiOiIxMzc0MzkxNjQ1NDc1In0=</vt:lpwstr>
  </property>
  <property fmtid="{D5CDD505-2E9C-101B-9397-08002B2CF9AE}" pid="3" name="KSOProductBuildVer">
    <vt:lpwstr>1033-12.1.0.28032</vt:lpwstr>
  </property>
  <property fmtid="{D5CDD505-2E9C-101B-9397-08002B2CF9AE}" pid="4" name="ICV">
    <vt:lpwstr>5467134F76DD4A569C0D79D5B2BDE619_13</vt:lpwstr>
  </property>
</Properties>
</file>