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BẢN GHI CHÚ KHOA HỌC: ĐỐI CHIẾU HỌC THUẬT, ĐÁNH GIÁ TÍNH MỚI VÀ CHIẾN LƯỢC TRÁNH TRÙNG LẶP CHO ĐỀ TÀI CẤP TRƯỜNG &amp; BÀI BÁO TRONG NƯỚC</w:t>
      </w:r>
    </w:p>
    <w:p>
      <w:pPr>
        <w:pStyle w:val="Heading2"/>
      </w:pPr>
      <w:r>
        <w:t xml:space="preserve">Đơn vị: Bộ môn Địa kỹ thuật và Không gian ngầm - Khoa Công trình và Môi trường, Trường ĐH Giao thông vận tải</w:t>
      </w:r>
    </w:p>
    <w:p>
      <w:pPr>
        <w:ind w:firstLine="567"/>
        <w:jc w:val="both"/>
      </w:pPr>
      <w:r>
        <w:rPr>
          <w:b w:val="false"/>
          <w:bCs w:val="false"/>
        </w:rPr>
        <w:t xml:space="preserve">Tài liệu này tổng hợp phân tích chuyên sâu đối chiếu giữa nghiên cứu dự kiến của nhóm nghiên cứu với các công bố khoa học tiêu biểu trong nước liên quan đến lún bề mặt do đào hầm khiên đào (TBM), nhằm khẳng định tính mới tuyệt đối, tính độc lập học thuật và xây dựng chiến lược viết phần Tổng quan nghiên cứu (Literature Review) làm bàn đạp cho chuỗi nghiên cứu NAFOSTED và bài báo quốc tế Q1.</w:t>
      </w:r>
    </w:p>
    <w:p>
      <w:pPr>
        <w:pStyle w:val="Heading2"/>
      </w:pPr>
      <w:r>
        <w:t xml:space="preserve">I. PHÂN TÍCH HIỆN TRẠNG CÁC CÔNG BỐ TIÊU BIỂU TRONG NƯỚC</w:t>
      </w:r>
    </w:p>
    <w:p>
      <w:pPr>
        <w:pStyle w:val="Heading3"/>
      </w:pPr>
      <w:r>
        <w:t xml:space="preserve">1. Bài báo 1: TS. Nguyễn Anh Thư et al. (2019)</w:t>
      </w:r>
    </w:p>
    <w:p>
      <w:pPr>
        <w:pStyle w:val="ListParagraph"/>
        <w:numPr>
          <w:ilvl w:val="0"/>
          <w:numId w:val="2"/>
        </w:numPr>
        <w:spacing w:after="60"/>
      </w:pPr>
      <w:r>
        <w:rPr>
          <w:b w:val="false"/>
          <w:bCs w:val="false"/>
        </w:rPr>
        <w:t xml:space="preserve">Tiêu đề công bố: "Phân tích độ nhạy của các yếu tố ảnh hưởng đến lún mặt đất do đào hầm bằng khiên đào trong đất yếu", Kỷ yếu / Tạp chí chuyên ngành Địa kỹ thuật, 2019.</w:t>
      </w:r>
    </w:p>
    <w:p>
      <w:pPr>
        <w:pStyle w:val="ListParagraph"/>
        <w:numPr>
          <w:ilvl w:val="0"/>
          <w:numId w:val="2"/>
        </w:numPr>
        <w:spacing w:after="60"/>
      </w:pPr>
      <w:r>
        <w:rPr>
          <w:b w:val="false"/>
          <w:bCs w:val="false"/>
        </w:rPr>
        <w:t xml:space="preserve">Phương pháp tiếp cận: Sử dụng phương pháp phân tích độ nhạy cục bộ truyền thống (Local Sensitivity Analysis - OAT / One-At-a-Time) trên nền tảng phần mềm thương mại Plaxis. Tác giả giữ nguyên tất cả các biến số và lần lượt thay đổi từng thông số hình học (đường kính D, độ sâu phủ H) hoặc thông số đất nền (c, phi) để xem mức độ biến thiên lún.</w:t>
      </w:r>
    </w:p>
    <w:p>
      <w:pPr>
        <w:pStyle w:val="ListParagraph"/>
        <w:numPr>
          <w:ilvl w:val="0"/>
          <w:numId w:val="2"/>
        </w:numPr>
        <w:spacing w:after="60"/>
      </w:pPr>
      <w:r>
        <w:rPr>
          <w:b w:val="false"/>
          <w:bCs w:val="false"/>
        </w:rPr>
        <w:t xml:space="preserve">Hạn chế học thuật &amp; Khoảng trống: Phương pháp OAT không phản ánh được tính tương tác phi tuyến đa biến giữa các lớp đất với nhau và giữa đất với áp lực thi công. Nghiên cứu mang tính tất định (deterministic), không gắn với hàm phân phối xác suất thống kê thực tế của địa tầng ngậm nước TP.HCM.</w:t>
      </w:r>
    </w:p>
    <w:p>
      <w:pPr>
        <w:pStyle w:val="Heading3"/>
      </w:pPr>
      <w:r>
        <w:t xml:space="preserve">2. Bài báo 2: TS. Nguyễn Văn Hùng et al. (Tạp chí Xây dựng, 12/2020 - 2025)</w:t>
      </w:r>
    </w:p>
    <w:p>
      <w:pPr>
        <w:pStyle w:val="ListParagraph"/>
        <w:numPr>
          <w:ilvl w:val="0"/>
          <w:numId w:val="2"/>
        </w:numPr>
        <w:spacing w:after="60"/>
      </w:pPr>
      <w:r>
        <w:rPr>
          <w:b w:val="false"/>
          <w:bCs w:val="false"/>
        </w:rPr>
        <w:t xml:space="preserve">Tiêu đề công bố: "Ảnh hưởng của việc lựa chọn mô hình đất đến kết quả dự báo lún bề mặt khi thi công đường hầm khiên đào tại Hà Nội", Tạp chí Xây dựng.</w:t>
      </w:r>
    </w:p>
    <w:p>
      <w:pPr>
        <w:pStyle w:val="ListParagraph"/>
        <w:numPr>
          <w:ilvl w:val="0"/>
          <w:numId w:val="2"/>
        </w:numPr>
        <w:spacing w:after="60"/>
      </w:pPr>
      <w:r>
        <w:rPr>
          <w:b w:val="false"/>
          <w:bCs w:val="false"/>
        </w:rPr>
        <w:t xml:space="preserve">Đối tượng &amp; Địa bàn nghiên cứu: Tuyến đường sắt đô thị thí điểm TP. Hà Nội, Tuyến số 3 (đoạn Nhổn - Ga Hà Nội), điều kiện địa tầng đặc thù Hà Nội gồm các lớp cát pha, sét pha, cuội sỏi (GU1s, GU3&amp;4, GU5, GU7&amp;8).</w:t>
      </w:r>
    </w:p>
    <w:p>
      <w:pPr>
        <w:pStyle w:val="ListParagraph"/>
        <w:numPr>
          <w:ilvl w:val="0"/>
          <w:numId w:val="2"/>
        </w:numPr>
        <w:spacing w:after="60"/>
      </w:pPr>
      <w:r>
        <w:rPr>
          <w:b w:val="false"/>
          <w:bCs w:val="false"/>
        </w:rPr>
        <w:t xml:space="preserve">Phương pháp mô phỏng: Mô phỏng Plaxis 2D so sánh ứng xử giữa mô hình Mohr-Coulomb (MC) và Hardening Soil (HS) thông qua giả định mất mát thể tích hình học định trước (Vl = 0.5%, co ngót đồng nhất xung quanh chu vi hầm).</w:t>
      </w:r>
    </w:p>
    <w:p>
      <w:pPr>
        <w:pStyle w:val="ListParagraph"/>
        <w:numPr>
          <w:ilvl w:val="0"/>
          <w:numId w:val="2"/>
        </w:numPr>
        <w:spacing w:after="60"/>
      </w:pPr>
      <w:r>
        <w:rPr>
          <w:b w:val="false"/>
          <w:bCs w:val="false"/>
        </w:rPr>
        <w:t xml:space="preserve">Hạn chế học thuật &amp; Khoảng trống: Đây là bài toán thiết kế tất định thuần túy. Việc áp đặt Vl = 0.5% là giả định hình học thụ động, hoàn toàn chưa xét đến cơ chế cơ học tiếp xúc chủ động của khiên đào EPB (áp lực giữ gương đào Ps, áp lực ép vữa chèn đuôi khiên Pa).</w:t>
      </w:r>
    </w:p>
    <w:p>
      <w:pPr>
        <w:pStyle w:val="Heading2"/>
      </w:pPr>
      <w:r>
        <w:t xml:space="preserve">II. BỐN ĐIỂM KHÁC BIỆT CỐT LÕI TẠO NÊN TÍNH MỚI TUYỆT ĐỐI CỦA ĐỀ TÀI</w:t>
      </w:r>
    </w:p>
    <w:p>
      <w:pPr>
        <w:pStyle w:val="ListParagraph"/>
        <w:numPr>
          <w:ilvl w:val="0"/>
          <w:numId w:val="2"/>
        </w:numPr>
        <w:spacing w:after="60"/>
      </w:pPr>
      <w:r>
        <w:rPr>
          <w:b w:val="false"/>
          <w:bCs w:val="false"/>
        </w:rPr>
        <w:t xml:space="preserve">1. Nền tảng mã nguồn mở OpenSeesPy (Thay vì phần mềm thương mại Plaxis): Toàn bộ bài toán được lập trình bằng Python thuần túy. Không bị phụ thuộc vào giao diện đóng (GUI) của phần mềm thương mại; cho phép can thiệp sâu vào thuật toán ma trận phần tử và tự động hóa sinh dữ liệu lớn phục vụ mạng nơ-ron AI sau này.</w:t>
      </w:r>
    </w:p>
    <w:p>
      <w:pPr>
        <w:pStyle w:val="ListParagraph"/>
        <w:numPr>
          <w:ilvl w:val="0"/>
          <w:numId w:val="2"/>
        </w:numPr>
        <w:spacing w:after="60"/>
      </w:pPr>
      <w:r>
        <w:rPr>
          <w:b w:val="false"/>
          <w:bCs w:val="false"/>
        </w:rPr>
        <w:t xml:space="preserve">2. Mô phỏng cơ chế thi công động lực học thực tế (Thay vì co ngót thể tích Vl thụ động): Mô phỏng trực tiếp áp lực giữ gương đào (Ps) và áp lực ép vữa chèn khe hở đuôi khiên (Pa) bám sát thông số vận hành thực tế của máy EPB TBM trên tuyến Metro số 1 TP.HCM.</w:t>
      </w:r>
    </w:p>
    <w:p>
      <w:pPr>
        <w:pStyle w:val="ListParagraph"/>
        <w:numPr>
          <w:ilvl w:val="0"/>
          <w:numId w:val="2"/>
        </w:numPr>
        <w:spacing w:after="60"/>
      </w:pPr>
      <w:r>
        <w:rPr>
          <w:b w:val="false"/>
          <w:bCs w:val="false"/>
        </w:rPr>
        <w:t xml:space="preserve">3. Phân tích độ nhạy ngẫu nhiên toàn cục (Global Sensitivity Analysis): Không dùng phương pháp OAT đơn biến lạc hậu, đề tài áp dụng phân tích độ nhạy toàn cục dựa trên phương sai (Sobol' Indices / Morris Method) kết hợp mô phỏng Monte Carlo (1.000 mẫu ngẫu nhiên), khảo sát toàn bộ không gian biến thiên không gian của đất nền.</w:t>
      </w:r>
    </w:p>
    <w:p>
      <w:pPr>
        <w:pStyle w:val="ListParagraph"/>
        <w:numPr>
          <w:ilvl w:val="0"/>
          <w:numId w:val="2"/>
        </w:numPr>
        <w:spacing w:after="60"/>
      </w:pPr>
      <w:r>
        <w:rPr>
          <w:b w:val="false"/>
          <w:bCs w:val="false"/>
        </w:rPr>
        <w:t xml:space="preserve">4. Địa tầng trầm tích trẻ TP.HCM &amp; Số liệu thực địa Gói thầu CP1b: Đối tượng là đoạn ngầm Nhà hát Thành phố - Ba Son thuộc Tuyến Metro 1 TP.HCM, giải quyết bài toán mâu thuẫn mô đun của lớp cát ngậm nước As1/As2 nằm dưới lớp bùn sét Ac2 - hoàn toàn khác biệt với địa tầng cuội sỏi, sét pha Hà Nội.</w:t>
      </w:r>
    </w:p>
    <w:p>
      <w:pPr>
        <w:pStyle w:val="Heading2"/>
      </w:pPr>
      <w:r>
        <w:t xml:space="preserve">III. BẢNG MA TRẬN ĐỐI CHIẾU HỌC THUẬT SO SÁNH TRỰC DIỆN</w:t>
      </w:r>
    </w:p>
    <w:tbl>
      <w:tblPr>
        <w:tblW w:type="dxa" w:w="9355"/>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8"/>
          <w:bottom w:type="dxa" w:w="60"/>
          <w:right w:type="dxa" w:w="108"/>
        </w:tblCellMar>
      </w:tblPr>
      <w:tblGrid>
        <w:gridCol w:w="2338"/>
        <w:gridCol w:w="2338"/>
        <w:gridCol w:w="2338"/>
        <w:gridCol w:w="2341"/>
      </w:tblGrid>
      <w:tr>
        <w:trPr>
          <w:tblHeader/>
        </w:trPr>
        <w:tc>
          <w:tcPr>
            <w:tcW w:type="dxa" w:w="2338"/>
            <w:shd w:fill="F1F5F9" w:val="clear"/>
          </w:tcPr>
          <w:p>
            <w:pPr>
              <w:spacing w:after="0"/>
            </w:pPr>
            <w:r>
              <w:rPr>
                <w:b/>
                <w:bCs/>
              </w:rPr>
              <w:t xml:space="preserve">Tiêu chí so sánh</w:t>
            </w:r>
          </w:p>
        </w:tc>
        <w:tc>
          <w:tcPr>
            <w:tcW w:type="dxa" w:w="2338"/>
            <w:shd w:fill="F1F5F9" w:val="clear"/>
          </w:tcPr>
          <w:p>
            <w:pPr>
              <w:spacing w:after="0"/>
            </w:pPr>
            <w:r>
              <w:rPr>
                <w:b/>
                <w:bCs/>
              </w:rPr>
              <w:t xml:space="preserve">Nguyễn Anh Thư et al. (2019)</w:t>
            </w:r>
          </w:p>
        </w:tc>
        <w:tc>
          <w:tcPr>
            <w:tcW w:type="dxa" w:w="2338"/>
            <w:shd w:fill="F1F5F9" w:val="clear"/>
          </w:tcPr>
          <w:p>
            <w:pPr>
              <w:spacing w:after="0"/>
            </w:pPr>
            <w:r>
              <w:rPr>
                <w:b/>
                <w:bCs/>
              </w:rPr>
              <w:t xml:space="preserve">Nguyễn Văn Hùng et al. (2020)</w:t>
            </w:r>
          </w:p>
        </w:tc>
        <w:tc>
          <w:tcPr>
            <w:tcW w:type="dxa" w:w="2341"/>
            <w:shd w:fill="F1F5F9" w:val="clear"/>
          </w:tcPr>
          <w:p>
            <w:pPr>
              <w:spacing w:after="0"/>
            </w:pPr>
            <w:r>
              <w:rPr>
                <w:b/>
                <w:bCs/>
              </w:rPr>
              <w:t xml:space="preserve">Đề tài Nhóm nghiên cứu đề xuất</w:t>
            </w:r>
          </w:p>
        </w:tc>
      </w:tr>
      <w:tr>
        <w:tc>
          <w:tcPr>
            <w:tcW w:type="dxa" w:w="2338"/>
          </w:tcPr>
          <w:p>
            <w:pPr>
              <w:spacing w:after="0"/>
            </w:pPr>
            <w:r>
              <w:rPr>
                <w:b w:val="false"/>
                <w:bCs w:val="false"/>
              </w:rPr>
              <w:t xml:space="preserve">Địa bàn &amp; Địa tầng</w:t>
            </w:r>
          </w:p>
        </w:tc>
        <w:tc>
          <w:tcPr>
            <w:tcW w:type="dxa" w:w="2338"/>
          </w:tcPr>
          <w:p>
            <w:pPr>
              <w:spacing w:after="0"/>
            </w:pPr>
            <w:r>
              <w:rPr>
                <w:b w:val="false"/>
                <w:bCs w:val="false"/>
              </w:rPr>
              <w:t xml:space="preserve">Đất yếu TP.HCM (tổng quát)</w:t>
            </w:r>
          </w:p>
        </w:tc>
        <w:tc>
          <w:tcPr>
            <w:tcW w:type="dxa" w:w="2338"/>
          </w:tcPr>
          <w:p>
            <w:pPr>
              <w:spacing w:after="0"/>
            </w:pPr>
            <w:r>
              <w:rPr>
                <w:b w:val="false"/>
                <w:bCs w:val="false"/>
              </w:rPr>
              <w:t xml:space="preserve">Hà Nội (Metro 3: Nhổn - Ga HN)</w:t>
            </w:r>
          </w:p>
        </w:tc>
        <w:tc>
          <w:tcPr>
            <w:tcW w:type="dxa" w:w="2341"/>
          </w:tcPr>
          <w:p>
            <w:pPr>
              <w:spacing w:after="0"/>
            </w:pPr>
            <w:r>
              <w:rPr>
                <w:b w:val="false"/>
                <w:bCs w:val="false"/>
              </w:rPr>
              <w:t xml:space="preserve">TP.HCM (Metro 1: CP1b, bùn sét Ac2 &amp; cát As1/2)</w:t>
            </w:r>
          </w:p>
        </w:tc>
      </w:tr>
      <w:tr>
        <w:tc>
          <w:tcPr>
            <w:tcW w:type="dxa" w:w="2338"/>
          </w:tcPr>
          <w:p>
            <w:pPr>
              <w:spacing w:after="0"/>
            </w:pPr>
            <w:r>
              <w:rPr>
                <w:b w:val="false"/>
                <w:bCs w:val="false"/>
              </w:rPr>
              <w:t xml:space="preserve">Công cụ mô phỏng</w:t>
            </w:r>
          </w:p>
        </w:tc>
        <w:tc>
          <w:tcPr>
            <w:tcW w:type="dxa" w:w="2338"/>
          </w:tcPr>
          <w:p>
            <w:pPr>
              <w:spacing w:after="0"/>
            </w:pPr>
            <w:r>
              <w:rPr>
                <w:b w:val="false"/>
                <w:bCs w:val="false"/>
              </w:rPr>
              <w:t xml:space="preserve">Plaxis 2D (phần mềm đóng)</w:t>
            </w:r>
          </w:p>
        </w:tc>
        <w:tc>
          <w:tcPr>
            <w:tcW w:type="dxa" w:w="2338"/>
          </w:tcPr>
          <w:p>
            <w:pPr>
              <w:spacing w:after="0"/>
            </w:pPr>
            <w:r>
              <w:rPr>
                <w:b w:val="false"/>
                <w:bCs w:val="false"/>
              </w:rPr>
              <w:t xml:space="preserve">Plaxis 2D (phần mềm đóng)</w:t>
            </w:r>
          </w:p>
        </w:tc>
        <w:tc>
          <w:tcPr>
            <w:tcW w:type="dxa" w:w="2341"/>
          </w:tcPr>
          <w:p>
            <w:pPr>
              <w:spacing w:after="0"/>
            </w:pPr>
            <w:r>
              <w:rPr>
                <w:b w:val="false"/>
                <w:bCs w:val="false"/>
              </w:rPr>
              <w:t xml:space="preserve">OpenSeesPy (Mã nguồn mở Python)</w:t>
            </w:r>
          </w:p>
        </w:tc>
      </w:tr>
      <w:tr>
        <w:tc>
          <w:tcPr>
            <w:tcW w:type="dxa" w:w="2338"/>
          </w:tcPr>
          <w:p>
            <w:pPr>
              <w:spacing w:after="0"/>
            </w:pPr>
            <w:r>
              <w:rPr>
                <w:b w:val="false"/>
                <w:bCs w:val="false"/>
              </w:rPr>
              <w:t xml:space="preserve">Phương pháp tiếp cận</w:t>
            </w:r>
          </w:p>
        </w:tc>
        <w:tc>
          <w:tcPr>
            <w:tcW w:type="dxa" w:w="2338"/>
          </w:tcPr>
          <w:p>
            <w:pPr>
              <w:spacing w:after="0"/>
            </w:pPr>
            <w:r>
              <w:rPr>
                <w:b w:val="false"/>
                <w:bCs w:val="false"/>
              </w:rPr>
              <w:t xml:space="preserve">Tất định, biến thiên đơn biến (OAT)</w:t>
            </w:r>
          </w:p>
        </w:tc>
        <w:tc>
          <w:tcPr>
            <w:tcW w:type="dxa" w:w="2338"/>
          </w:tcPr>
          <w:p>
            <w:pPr>
              <w:spacing w:after="0"/>
            </w:pPr>
            <w:r>
              <w:rPr>
                <w:b w:val="false"/>
                <w:bCs w:val="false"/>
              </w:rPr>
              <w:t xml:space="preserve">Tất định, so sánh mô hình MC &amp; HS</w:t>
            </w:r>
          </w:p>
        </w:tc>
        <w:tc>
          <w:tcPr>
            <w:tcW w:type="dxa" w:w="2341"/>
          </w:tcPr>
          <w:p>
            <w:pPr>
              <w:spacing w:after="0"/>
            </w:pPr>
            <w:r>
              <w:rPr>
                <w:b w:val="false"/>
                <w:bCs w:val="false"/>
              </w:rPr>
              <w:t xml:space="preserve">Ngẫu nhiên (Stochastic), Toàn cục (GSA)</w:t>
            </w:r>
          </w:p>
        </w:tc>
      </w:tr>
      <w:tr>
        <w:tc>
          <w:tcPr>
            <w:tcW w:type="dxa" w:w="2338"/>
          </w:tcPr>
          <w:p>
            <w:pPr>
              <w:spacing w:after="0"/>
            </w:pPr>
            <w:r>
              <w:rPr>
                <w:b w:val="false"/>
                <w:bCs w:val="false"/>
              </w:rPr>
              <w:t xml:space="preserve">Mô phỏng thi công</w:t>
            </w:r>
          </w:p>
        </w:tc>
        <w:tc>
          <w:tcPr>
            <w:tcW w:type="dxa" w:w="2338"/>
          </w:tcPr>
          <w:p>
            <w:pPr>
              <w:spacing w:after="0"/>
            </w:pPr>
            <w:r>
              <w:rPr>
                <w:b w:val="false"/>
                <w:bCs w:val="false"/>
              </w:rPr>
              <w:t xml:space="preserve">Biến thiên hình học/tải trọng đơn giản</w:t>
            </w:r>
          </w:p>
        </w:tc>
        <w:tc>
          <w:tcPr>
            <w:tcW w:type="dxa" w:w="2338"/>
          </w:tcPr>
          <w:p>
            <w:pPr>
              <w:spacing w:after="0"/>
            </w:pPr>
            <w:r>
              <w:rPr>
                <w:b w:val="false"/>
                <w:bCs w:val="false"/>
              </w:rPr>
              <w:t xml:space="preserve">Áp đặt co ngót thể tích Vl = 0.5%</w:t>
            </w:r>
          </w:p>
        </w:tc>
        <w:tc>
          <w:tcPr>
            <w:tcW w:type="dxa" w:w="2341"/>
          </w:tcPr>
          <w:p>
            <w:pPr>
              <w:spacing w:after="0"/>
            </w:pPr>
            <w:r>
              <w:rPr>
                <w:b w:val="false"/>
                <w:bCs w:val="false"/>
              </w:rPr>
              <w:t xml:space="preserve">Mô phỏng cơ học động: Áp lực gương Ps &amp; vữa Pa</w:t>
            </w:r>
          </w:p>
        </w:tc>
      </w:tr>
      <w:tr>
        <w:tc>
          <w:tcPr>
            <w:tcW w:type="dxa" w:w="2338"/>
          </w:tcPr>
          <w:p>
            <w:pPr>
              <w:spacing w:after="0"/>
            </w:pPr>
            <w:r>
              <w:rPr>
                <w:b w:val="false"/>
                <w:bCs w:val="false"/>
              </w:rPr>
              <w:t xml:space="preserve">Khả năng mở rộng AI</w:t>
            </w:r>
          </w:p>
        </w:tc>
        <w:tc>
          <w:tcPr>
            <w:tcW w:type="dxa" w:w="2338"/>
          </w:tcPr>
          <w:p>
            <w:pPr>
              <w:spacing w:after="0"/>
            </w:pPr>
            <w:r>
              <w:rPr>
                <w:b w:val="false"/>
                <w:bCs w:val="false"/>
              </w:rPr>
              <w:t xml:space="preserve">Rất khó, không tự động hóa được</w:t>
            </w:r>
          </w:p>
        </w:tc>
        <w:tc>
          <w:tcPr>
            <w:tcW w:type="dxa" w:w="2338"/>
          </w:tcPr>
          <w:p>
            <w:pPr>
              <w:spacing w:after="0"/>
            </w:pPr>
            <w:r>
              <w:rPr>
                <w:b w:val="false"/>
                <w:bCs w:val="false"/>
              </w:rPr>
              <w:t xml:space="preserve">Không khả thi trong môi trường GUI</w:t>
            </w:r>
          </w:p>
        </w:tc>
        <w:tc>
          <w:tcPr>
            <w:tcW w:type="dxa" w:w="2341"/>
          </w:tcPr>
          <w:p>
            <w:pPr>
              <w:spacing w:after="0"/>
            </w:pPr>
            <w:r>
              <w:rPr>
                <w:b w:val="false"/>
                <w:bCs w:val="false"/>
              </w:rPr>
              <w:t xml:space="preserve">Sẵn sàng tự động hóa chạy 100.000 mẫu cho AI/MCS</w:t>
            </w:r>
          </w:p>
        </w:tc>
      </w:tr>
    </w:tbl>
    <w:p/>
    <w:p>
      <w:pPr>
        <w:pStyle w:val="Heading2"/>
      </w:pPr>
      <w:r>
        <w:t xml:space="preserve">IV. ĐỀ XUẤT TIÊU ĐỀ ĐỀ TÀI VÀ BÀI BÁO TRONG NƯỚC</w:t>
      </w:r>
    </w:p>
    <w:p>
      <w:pPr>
        <w:pStyle w:val="ListParagraph"/>
        <w:numPr>
          <w:ilvl w:val="0"/>
          <w:numId w:val="2"/>
        </w:numPr>
        <w:spacing w:after="60"/>
      </w:pPr>
      <w:r>
        <w:rPr>
          <w:b w:val="false"/>
          <w:bCs w:val="false"/>
        </w:rPr>
        <w:t xml:space="preserve">Tên Đề tài NCKH Cấp Trường (UTC): "Nghiên cứu đánh giá độ nhạy ngẫu nhiên của biến dạng lún mặt đất khi đào hầm TBM tuyến Metro số 1 TP.HCM trên nền tảng phần tử hữu hạn mã nguồn mở."</w:t>
      </w:r>
    </w:p>
    <w:p>
      <w:pPr>
        <w:pStyle w:val="ListParagraph"/>
        <w:numPr>
          <w:ilvl w:val="0"/>
          <w:numId w:val="2"/>
        </w:numPr>
        <w:spacing w:after="60"/>
      </w:pPr>
      <w:r>
        <w:rPr>
          <w:b w:val="false"/>
          <w:bCs w:val="false"/>
        </w:rPr>
        <w:t xml:space="preserve">Tên Bài báo Khoa học Trong nước (Tạp chí GTVT): "Đánh giá độ nhạy toàn cục của độ lún mặt đất theo các thông số vận hành khiên đào và địa tầng ngẫu nhiên bằng OpenSeesPy: Áp dụng cho Metro số 1 TP.HCM."</w:t>
      </w:r>
    </w:p>
    <w:p>
      <w:pPr>
        <w:pStyle w:val="Heading2"/>
      </w:pPr>
      <w:r>
        <w:t xml:space="preserve">V. CHIẾN LƯỢC VIẾT PHẦN TỔNG QUAN NGHIÊN CỨU (LITERATURE REVIEW)</w:t>
      </w:r>
    </w:p>
    <w:p>
      <w:pPr>
        <w:ind w:firstLine="567"/>
        <w:jc w:val="both"/>
      </w:pPr>
      <w:r>
        <w:rPr>
          <w:b w:val="false"/>
          <w:bCs w:val="false"/>
        </w:rPr>
        <w:t xml:space="preserve">Thay vì né tránh, việc chủ động trích dẫn và phân tích hai công bố nói trên trong phần Mở đầu / Tổng quan nghiên cứu sẽ củng cố tính chặt chẽ và thuyết phục hội đồng thẩm định:</w:t>
      </w:r>
    </w:p>
    <w:p>
      <w:pPr>
        <w:pStyle w:val="ListParagraph"/>
        <w:numPr>
          <w:ilvl w:val="0"/>
          <w:numId w:val="2"/>
        </w:numPr>
        <w:spacing w:after="60"/>
      </w:pPr>
      <w:r>
        <w:rPr>
          <w:b w:val="false"/>
          <w:bCs w:val="false"/>
        </w:rPr>
        <w:t xml:space="preserve">Đoạn dẫn 1 (Nhấn mạnh sự cần thiết của mô hình cơ học thay vì hình học): "Các nghiên cứu gần đây trong nước đã bước đầu phân tích ứng xử của đất nền khi đào hầm metro, chẳng hạn như nghiên cứu của Nguyễn Văn Hùng và cộng sự (2020) đã chứng minh tầm quan trọng của mô hình đất phi tuyến tại tuyến Metro số 3 Hà Nội. Tuy nhiên, việc áp đặt mất mát thể tích hình học Vl cố định chưa mô tả được tương tác cơ học chủ động giữa áp lực gương đào Ps và vữa chèn Pa của máy EPB..."</w:t>
      </w:r>
    </w:p>
    <w:p>
      <w:pPr>
        <w:pStyle w:val="ListParagraph"/>
        <w:numPr>
          <w:ilvl w:val="0"/>
          <w:numId w:val="2"/>
        </w:numPr>
        <w:spacing w:after="60"/>
      </w:pPr>
      <w:r>
        <w:rPr>
          <w:b w:val="false"/>
          <w:bCs w:val="false"/>
        </w:rPr>
        <w:t xml:space="preserve">Đoạn dẫn 2 (Chỉ ra giới hạn của phân tích độ nhạy đơn biến): "Bên cạnh đó, nghiên cứu của Nguyễn Anh Thư và cộng sự (2019) về đào hầm trong đất yếu TP.HCM đã đánh giá độ nhạy theo phương pháp đơn biến (OAT). Mặc dù vậy, phương pháp này chưa xét đến tính biến thiên ngẫu nhiên đồng thời và tính phi tuyến đa biến của các chỉ tiêu cơ lý..."</w:t>
      </w:r>
    </w:p>
    <w:p>
      <w:pPr>
        <w:pStyle w:val="ListParagraph"/>
        <w:numPr>
          <w:ilvl w:val="0"/>
          <w:numId w:val="2"/>
        </w:numPr>
        <w:spacing w:after="60"/>
      </w:pPr>
      <w:r>
        <w:rPr>
          <w:b w:val="false"/>
          <w:bCs w:val="false"/>
        </w:rPr>
        <w:t xml:space="preserve">Đoạn kết luận khoảng trống (Research Gap): "Để khắc phục triệt để các hạn chế trên, nghiên cứu này xây dựng khung phân tích độ nhạy ngẫu nhiên toàn cục (Global Sensitivity Analysis) trên nền tảng mã nguồn mở OpenSeesPy, kết hợp trực tiếp thông số vận hành thực tế của máy TBM tại Gói thầu CP1b Metro số 1 TP.HCM với phân phối ngẫu nhiên địa kỹ thuật."</w:t>
      </w:r>
    </w:p>
    <w:p>
      <w:pPr>
        <w:pStyle w:val="Heading2"/>
      </w:pPr>
      <w:r>
        <w:t xml:space="preserve">VI. KẾT LUẬN VÀ LỘ TRÌNH KẾT NỐI HỌC THUẬT</w:t>
      </w:r>
    </w:p>
    <w:p>
      <w:pPr>
        <w:pStyle w:val="ListParagraph"/>
        <w:numPr>
          <w:ilvl w:val="0"/>
          <w:numId w:val="2"/>
        </w:numPr>
        <w:spacing w:after="60"/>
      </w:pPr>
      <w:r>
        <w:rPr>
          <w:b w:val="false"/>
          <w:bCs w:val="false"/>
        </w:rPr>
        <w:t xml:space="preserve">Đề tài cấp Trường và bài báo trong nước đóng vai trò 'nghiên cứu tiền đề' (preliminary work), cung cấp bộ script OpenSeesPy chuẩn xác và ma trận độ nhạy ban đầu.</w:t>
      </w:r>
    </w:p>
    <w:p>
      <w:pPr>
        <w:pStyle w:val="ListParagraph"/>
        <w:numPr>
          <w:ilvl w:val="0"/>
          <w:numId w:val="2"/>
        </w:numPr>
        <w:spacing w:after="60"/>
      </w:pPr>
      <w:r>
        <w:rPr>
          <w:b w:val="false"/>
          <w:bCs w:val="false"/>
        </w:rPr>
        <w:t xml:space="preserve">Kết quả này là minh chứng năng lực không thể thiếu trong thuyết minh đề tài NAFOSTED (giai đoạn 2027 - 2029).</w:t>
      </w:r>
    </w:p>
    <w:p>
      <w:pPr>
        <w:pStyle w:val="ListParagraph"/>
        <w:numPr>
          <w:ilvl w:val="0"/>
          <w:numId w:val="2"/>
        </w:numPr>
        <w:spacing w:after="60"/>
      </w:pPr>
      <w:r>
        <w:rPr>
          <w:b w:val="false"/>
          <w:bCs w:val="false"/>
        </w:rPr>
        <w:t xml:space="preserve">Toàn bộ dữ liệu mô phỏng ngẫu nhiên sẽ được tái sử dụng để huấn luyện mô hình AI Surrogate, phục vụ xuất bản Bài báo số 2 trên tạp chí Q1 (Automation in Construction / Computers and Geotechnics).</w:t>
      </w:r>
    </w:p>
    <w:sectPr>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6"/>
        <w:szCs w:val="26"/>
      </w:rPr>
    </w:rPrDefault>
    <w:pPrDefault>
      <w:pPr>
        <w:spacing w:after="120" w:line="312"/>
      </w:pPr>
    </w:pPrDefault>
  </w:docDefaults>
  <w:style w:type="paragraph" w:styleId="Title">
    <w:name w:val="Title"/>
    <w:basedOn w:val="Normal"/>
    <w:next w:val="Normal"/>
    <w:qFormat/>
    <w:pPr>
      <w:spacing w:after="240" w:before="120"/>
      <w:jc w:val="center"/>
    </w:pPr>
    <w:rPr>
      <w:rFonts w:ascii="Times New Roman" w:cs="Times New Roman" w:eastAsia="Times New Roman" w:hAnsi="Times New Roman"/>
      <w:b/>
      <w:bCs/>
      <w:color w:val="000000"/>
      <w:sz w:val="30"/>
      <w:szCs w:val="30"/>
    </w:rPr>
  </w:style>
  <w:style w:type="paragraph" w:styleId="Heading1">
    <w:name w:val="Heading 1"/>
    <w:basedOn w:val="Normal"/>
    <w:next w:val="Normal"/>
    <w:qFormat/>
    <w:pPr>
      <w:spacing w:after="120" w:before="24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200"/>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00" w:before="160"/>
    </w:pPr>
    <w:rPr>
      <w:rFonts w:ascii="Times New Roman" w:cs="Times New Roman" w:eastAsia="Times New Roman" w:hAnsi="Times New Roman"/>
      <w:b/>
      <w:bCs/>
      <w:i/>
      <w:iCs/>
      <w:color w:val="000000"/>
      <w:sz w:val="26"/>
      <w:szCs w:val="26"/>
    </w:rPr>
  </w:style>
  <w:style w:type="paragraph" w:styleId="Heading4">
    <w:name w:val="Heading 4"/>
    <w:basedOn w:val="Normal"/>
    <w:next w:val="Normal"/>
    <w:qFormat/>
    <w:rPr>
      <w:rFonts w:ascii="Times New Roman" w:cs="Times New Roman" w:eastAsia="Times New Roman" w:hAnsi="Times New Roman"/>
      <w:b/>
      <w:bCs/>
      <w:color w:val="000000"/>
      <w:sz w:val="26"/>
      <w:szCs w:val="26"/>
    </w:rPr>
  </w:style>
  <w:style w:type="paragraph" w:styleId="Heading5">
    <w:name w:val="Heading 5"/>
    <w:basedOn w:val="Normal"/>
    <w:next w:val="Normal"/>
    <w:qFormat/>
    <w:rPr>
      <w:rFonts w:ascii="Times New Roman" w:cs="Times New Roman" w:eastAsia="Times New Roman" w:hAnsi="Times New Roman"/>
      <w:b/>
      <w:bCs/>
      <w:color w:val="000000"/>
      <w:sz w:val="26"/>
      <w:szCs w:val="26"/>
    </w:rPr>
  </w:style>
  <w:style w:type="paragraph" w:styleId="Heading6">
    <w:name w:val="Heading 6"/>
    <w:basedOn w:val="Normal"/>
    <w:next w:val="Normal"/>
    <w:qFormat/>
    <w:rPr>
      <w:rFonts w:ascii="Times New Roman" w:cs="Times New Roman" w:eastAsia="Times New Roman" w:hAnsi="Times New Roman"/>
      <w:b/>
      <w:bCs/>
      <w:color w:val="000000"/>
      <w:sz w:val="26"/>
      <w:szCs w:val="26"/>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2026-10-11T16:05:56.837Z</dcterms:created>
  <dcterms:modified xsi:type="dcterms:W3CDTF">2026-10-11T16:05:56.837Z</dcterms:modified>
</cp:coreProperties>
</file>

<file path=docProps/custom.xml><?xml version="1.0" encoding="utf-8"?>
<Properties xmlns="http://schemas.openxmlformats.org/officeDocument/2006/custom-properties" xmlns:vt="http://schemas.openxmlformats.org/officeDocument/2006/docPropsVTypes"/>
</file>