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 w:after="160"/>
        <w:jc w:val="center"/>
      </w:pPr>
      <w:r>
        <w:rPr>
          <w:rFonts w:ascii="Times New Roman" w:hAnsi="Times New Roman"/>
          <w:b/>
          <w:color w:val="1E3C72"/>
          <w:sz w:val="30"/>
        </w:rPr>
        <w:t>TỜ TRÌNH XIN NGHIỆM THU THỬ GIAI ĐOẠN 1</w:t>
      </w:r>
    </w:p>
    <w:p>
      <w:pPr>
        <w:spacing w:before="160" w:after="40"/>
        <w:jc w:val="left"/>
      </w:pPr>
      <w:r>
        <w:rPr>
          <w:rFonts w:ascii="Times New Roman" w:hAnsi="Times New Roman"/>
          <w:b/>
          <w:sz w:val="26"/>
        </w:rPr>
        <w:t>ĐỀ TÀI LUẬN ÁN TIẾN SĨ / THẠC SĨ KỸ THUẬT</w:t>
      </w:r>
    </w:p>
    <w:p>
      <w:pPr>
        <w:spacing w:after="80"/>
        <w:ind w:firstLine="567"/>
        <w:jc w:val="both"/>
      </w:pPr>
      <w:r>
        <w:rPr>
          <w:rFonts w:ascii="Times New Roman" w:hAnsi="Times New Roman"/>
          <w:sz w:val="26"/>
        </w:rPr>
        <w:t>**Kính gửi:**</w:t>
      </w:r>
    </w:p>
    <w:p>
      <w:pPr>
        <w:pStyle w:val="ListBullet"/>
        <w:spacing w:after="40" w:line="300" w:lineRule="auto"/>
      </w:pPr>
      <w:r>
        <w:rPr>
          <w:rFonts w:ascii="Times New Roman" w:hAnsi="Times New Roman"/>
          <w:sz w:val="26"/>
        </w:rPr>
        <w:t>Ban Chủ nhiệm Khoa Công trình và Môi trường;</w:t>
      </w:r>
    </w:p>
    <w:p>
      <w:pPr>
        <w:pStyle w:val="ListBullet"/>
        <w:spacing w:after="40" w:line="300" w:lineRule="auto"/>
      </w:pPr>
      <w:r>
        <w:rPr>
          <w:rFonts w:ascii="Times New Roman" w:hAnsi="Times New Roman"/>
          <w:sz w:val="26"/>
        </w:rPr>
        <w:t>Ban Chủ nhiệm Bộ môn Địa kỹ thuật và Không gian ngầm;</w:t>
      </w:r>
    </w:p>
    <w:p>
      <w:pPr>
        <w:pStyle w:val="ListBullet"/>
        <w:spacing w:after="40" w:line="300" w:lineRule="auto"/>
      </w:pPr>
      <w:r>
        <w:rPr>
          <w:rFonts w:ascii="Times New Roman" w:hAnsi="Times New Roman"/>
          <w:sz w:val="26"/>
        </w:rPr>
        <w:t>Các Thầy/Cô thành viên Hội đồng chuyên môn đánh giá nghiệm thu.</w:t>
      </w:r>
    </w:p>
    <w:p>
      <w:pPr>
        <w:spacing w:before="160" w:after="40"/>
        <w:jc w:val="left"/>
      </w:pPr>
      <w:r>
        <w:rPr>
          <w:rFonts w:ascii="Times New Roman" w:hAnsi="Times New Roman"/>
          <w:b/>
          <w:sz w:val="26"/>
        </w:rPr>
        <w:t>1. THÔNG TIN CHUNG VỀ ĐỀ TÀI</w:t>
      </w:r>
    </w:p>
    <w:p>
      <w:pPr>
        <w:pStyle w:val="ListBullet"/>
        <w:spacing w:after="40" w:line="300" w:lineRule="auto"/>
      </w:pPr>
      <w:r>
        <w:rPr>
          <w:rFonts w:ascii="Times New Roman" w:hAnsi="Times New Roman"/>
          <w:sz w:val="26"/>
        </w:rPr>
        <w:t>**Tên đề tài:** *Nghiên cứu đánh giá độ nhạy và dự báo vùng ảnh hưởng lún mặt đất do thi công hầm khiên đào (TBM) đoạn S9–S12 Metro Tuyến 3 Hà Nội bằng phương pháp giải tích kết hợp WebGIS*.</w:t>
      </w:r>
    </w:p>
    <w:p>
      <w:pPr>
        <w:pStyle w:val="ListBullet"/>
        <w:spacing w:after="40" w:line="300" w:lineRule="auto"/>
      </w:pPr>
      <w:r>
        <w:rPr>
          <w:rFonts w:ascii="Times New Roman" w:hAnsi="Times New Roman"/>
          <w:sz w:val="26"/>
        </w:rPr>
        <w:t>**Ngành đào tạo:** Kỹ thuật Xây dựng Công trình Ngầm và Mỏ / Kỹ thuật Địa kỹ thuật (Mã số: 9580204 / 9580211).</w:t>
      </w:r>
    </w:p>
    <w:p>
      <w:pPr>
        <w:pStyle w:val="ListBullet"/>
        <w:spacing w:after="40" w:line="300" w:lineRule="auto"/>
      </w:pPr>
      <w:r>
        <w:rPr>
          <w:rFonts w:ascii="Times New Roman" w:hAnsi="Times New Roman"/>
          <w:sz w:val="26"/>
        </w:rPr>
        <w:t>**Cơ sở đào tạo:** Trường Đại học Giao thông vận tải (UTC).</w:t>
      </w:r>
    </w:p>
    <w:p>
      <w:pPr>
        <w:pStyle w:val="ListBullet"/>
        <w:spacing w:after="40" w:line="300" w:lineRule="auto"/>
      </w:pPr>
      <w:r>
        <w:rPr>
          <w:rFonts w:ascii="Times New Roman" w:hAnsi="Times New Roman"/>
          <w:sz w:val="26"/>
        </w:rPr>
        <w:t>**Người thực hiện:** Nhóm nghiên cứu &amp; Tác giả Luận án (Phụ trách: TS. Nguyễn Hải Hà &amp; Cộng sự).</w:t>
      </w:r>
    </w:p>
    <w:p>
      <w:pPr>
        <w:pStyle w:val="ListBullet"/>
        <w:spacing w:after="40" w:line="300" w:lineRule="auto"/>
      </w:pPr>
      <w:r>
        <w:rPr>
          <w:rFonts w:ascii="Times New Roman" w:hAnsi="Times New Roman"/>
          <w:sz w:val="26"/>
        </w:rPr>
        <w:t>**Đơn vị chuyên môn quản lý:** Bộ môn Địa kỹ thuật và Không gian ngầm, Khoa Công trình và Môi trường.</w:t>
      </w:r>
    </w:p>
    <w:p>
      <w:pPr>
        <w:spacing w:before="160" w:after="40"/>
        <w:jc w:val="left"/>
      </w:pPr>
      <w:r>
        <w:rPr>
          <w:rFonts w:ascii="Times New Roman" w:hAnsi="Times New Roman"/>
          <w:b/>
          <w:sz w:val="26"/>
        </w:rPr>
        <w:t>2. MỤC ĐÍCH VÀ CĂN CỨ TỔ CHỨC NGHIỆM THU THỬ</w:t>
      </w:r>
    </w:p>
    <w:p>
      <w:pPr>
        <w:spacing w:after="80"/>
        <w:ind w:firstLine="567"/>
        <w:jc w:val="both"/>
      </w:pPr>
      <w:r>
        <w:rPr>
          <w:rFonts w:ascii="Times New Roman" w:hAnsi="Times New Roman"/>
          <w:sz w:val="26"/>
        </w:rPr>
        <w:t>Căn cứ vào Quy chế đào tạo sau đại học và Kế hoạch thực hiện nghiên cứu khoa học của Bộ môn Địa kỹ thuật và Không gian ngầm;</w:t>
      </w:r>
    </w:p>
    <w:p>
      <w:pPr>
        <w:spacing w:after="80"/>
        <w:ind w:firstLine="567"/>
        <w:jc w:val="both"/>
      </w:pPr>
      <w:r>
        <w:rPr>
          <w:rFonts w:ascii="Times New Roman" w:hAnsi="Times New Roman"/>
          <w:sz w:val="26"/>
        </w:rPr>
        <w:t>Nhằm rà soát, đánh giá độc lập tính chuẩn xác về mặt cơ học đất, mô hình toán học giải tích, tính toàn vẹn của dữ liệu địa tầng thực tế và tính khả thi của hệ thống công cụ số hóa trước khi tiến hành nghiệm thu chính thức;</w:t>
      </w:r>
    </w:p>
    <w:p>
      <w:pPr>
        <w:spacing w:after="80"/>
        <w:ind w:firstLine="567"/>
        <w:jc w:val="both"/>
      </w:pPr>
      <w:r>
        <w:rPr>
          <w:rFonts w:ascii="Times New Roman" w:hAnsi="Times New Roman"/>
          <w:sz w:val="26"/>
        </w:rPr>
        <w:t>Nhóm nghiên cứu đã hoàn thành toàn bộ khối lượng công việc của **Giai đoạn 1: Xây dựng bộ sản phẩm nghiên cứu cốt lõi** và kính trình Bộ môn tổ chức phiên họp nghiệm thu thử.</w:t>
      </w:r>
    </w:p>
    <w:p>
      <w:pPr>
        <w:spacing w:before="160" w:after="40"/>
        <w:jc w:val="left"/>
      </w:pPr>
      <w:r>
        <w:rPr>
          <w:rFonts w:ascii="Times New Roman" w:hAnsi="Times New Roman"/>
          <w:b/>
          <w:sz w:val="26"/>
        </w:rPr>
        <w:t>3. TẬP HỢP TRỌN BỘ CÁC SẢN PHẨM BÀN GIAO NỘP KÈM</w:t>
      </w:r>
    </w:p>
    <w:p>
      <w:pPr>
        <w:spacing w:after="80"/>
        <w:ind w:firstLine="567"/>
        <w:jc w:val="both"/>
      </w:pPr>
      <w:r>
        <w:rPr>
          <w:rFonts w:ascii="Times New Roman" w:hAnsi="Times New Roman"/>
          <w:sz w:val="26"/>
        </w:rPr>
        <w:t>Trọn bộ sản phẩm nghiệm thu nộp Bộ môn bao gồm 4 cấu phần khoa học đồng bộ và hồ sơ kiểm toán:</w:t>
      </w:r>
    </w:p>
    <w:p>
      <w:pPr>
        <w:pStyle w:val="ListNumber"/>
        <w:spacing w:after="40" w:line="300" w:lineRule="auto"/>
      </w:pPr>
      <w:r>
        <w:rPr>
          <w:rFonts w:ascii="Times New Roman" w:hAnsi="Times New Roman"/>
          <w:sz w:val="26"/>
        </w:rPr>
        <w:t>**Bản thảo luận án chi tiết hoàn chỉnh:**</w:t>
      </w:r>
    </w:p>
    <w:p>
      <w:pPr>
        <w:pStyle w:val="ListBullet"/>
        <w:spacing w:after="40" w:line="300" w:lineRule="auto"/>
      </w:pPr>
      <w:r>
        <w:rPr>
          <w:rFonts w:ascii="Times New Roman" w:hAnsi="Times New Roman"/>
          <w:sz w:val="26"/>
        </w:rPr>
        <w:t>Tập hợp đầy đủ 8 chương, Trang bìa tóm tắt, Tài liệu tham khảo chuẩn mực và Phụ lục ma trận bằng chứng.</w:t>
      </w:r>
    </w:p>
    <w:p>
      <w:pPr>
        <w:pStyle w:val="ListBullet"/>
        <w:spacing w:after="40" w:line="300" w:lineRule="auto"/>
      </w:pPr>
      <w:r>
        <w:rPr>
          <w:rFonts w:ascii="Times New Roman" w:hAnsi="Times New Roman"/>
          <w:sz w:val="26"/>
        </w:rPr>
        <w:t>Định dạng Markdown toàn văn (`LUAN_AN_HOAN_CHINH_TBM_METRO3_HANOI.md`, 113 trang, 93,764 ký tự).</w:t>
      </w:r>
    </w:p>
    <w:p>
      <w:pPr>
        <w:pStyle w:val="ListBullet"/>
        <w:spacing w:after="40" w:line="300" w:lineRule="auto"/>
      </w:pPr>
      <w:r>
        <w:rPr>
          <w:rFonts w:ascii="Times New Roman" w:hAnsi="Times New Roman"/>
          <w:sz w:val="26"/>
        </w:rPr>
        <w:t>Bản in ấn Microsoft Word chuẩn quy định đào tạo sau đại học (`LUAN_AN_HOAN_CHINH_TBM_METRO3_HANOI.docx`, 2.64 MB, căn lề 3-2-2-2 cm, tích hợp bảng biểu và hình vẽ).</w:t>
      </w:r>
    </w:p>
    <w:p>
      <w:pPr>
        <w:pStyle w:val="ListNumber"/>
        <w:spacing w:after="40" w:line="300" w:lineRule="auto"/>
      </w:pPr>
      <w:r>
        <w:rPr>
          <w:rFonts w:ascii="Times New Roman" w:hAnsi="Times New Roman"/>
          <w:sz w:val="26"/>
        </w:rPr>
        <w:t>**Bộ 4 file Excel chuyên nghiệp (Đạt tiêu chuẩn tư vấn quốc tế):**</w:t>
      </w:r>
    </w:p>
    <w:p>
      <w:pPr>
        <w:pStyle w:val="ListBullet"/>
        <w:spacing w:after="40" w:line="300" w:lineRule="auto"/>
      </w:pPr>
      <w:r>
        <w:rPr>
          <w:rFonts w:ascii="Times New Roman" w:hAnsi="Times New Roman"/>
          <w:sz w:val="26"/>
        </w:rPr>
        <w:t>`TBM_HANOI_GEOTECHNICAL_BASELINE.xlsx`: Cơ sở dữ liệu địa chất hố khoan BH12, mặt cắt S9–S10 và tổng hợp 6 đơn nguyên thạch học.</w:t>
      </w:r>
    </w:p>
    <w:p>
      <w:pPr>
        <w:pStyle w:val="ListBullet"/>
        <w:spacing w:after="40" w:line="300" w:lineRule="auto"/>
      </w:pPr>
      <w:r>
        <w:rPr>
          <w:rFonts w:ascii="Times New Roman" w:hAnsi="Times New Roman"/>
          <w:sz w:val="26"/>
        </w:rPr>
        <w:t>`TBM_SETTLEMENT_ANALYTICAL_ENGINE.xlsx`: Động cơ tính toán giải tích Peck (1969) và Loganathan &amp; Poulos (1998), 21 kịch bản và siêu vị hầm đôi.</w:t>
      </w:r>
    </w:p>
    <w:p>
      <w:pPr>
        <w:pStyle w:val="ListBullet"/>
        <w:spacing w:after="40" w:line="300" w:lineRule="auto"/>
      </w:pPr>
      <w:r>
        <w:rPr>
          <w:rFonts w:ascii="Times New Roman" w:hAnsi="Times New Roman"/>
          <w:sz w:val="26"/>
        </w:rPr>
        <w:t>`TBM_BUILDING_RISK_EXPOSURE.xlsx`: Đánh giá chi tiết nguy cơ lún và độ nghiêng cho 60 công trình móng nông theo Burland (1995).</w:t>
      </w:r>
    </w:p>
    <w:p>
      <w:pPr>
        <w:pStyle w:val="ListBullet"/>
        <w:spacing w:after="40" w:line="300" w:lineRule="auto"/>
      </w:pPr>
      <w:r>
        <w:rPr>
          <w:rFonts w:ascii="Times New Roman" w:hAnsi="Times New Roman"/>
          <w:sz w:val="26"/>
        </w:rPr>
        <w:t>`EVIDENCE_TRACEABILITY_AUDIT_MATRIX.xlsx`: Ma trận truy xuất nguồn gốc học thuật, phân định rõ ràng giữa quan trắc thực địa và giả định mô hình.</w:t>
      </w:r>
    </w:p>
    <w:p>
      <w:pPr>
        <w:pStyle w:val="ListNumber"/>
        <w:spacing w:after="40" w:line="300" w:lineRule="auto"/>
      </w:pPr>
      <w:r>
        <w:rPr>
          <w:rFonts w:ascii="Times New Roman" w:hAnsi="Times New Roman"/>
          <w:sz w:val="26"/>
        </w:rPr>
        <w:t>**Hệ thống 7 hình ảnh minh họa khoa học chất lượng cao 300 DPI:**</w:t>
      </w:r>
    </w:p>
    <w:p>
      <w:pPr>
        <w:pStyle w:val="ListBullet"/>
        <w:spacing w:after="40" w:line="300" w:lineRule="auto"/>
      </w:pPr>
      <w:r>
        <w:rPr>
          <w:rFonts w:ascii="Times New Roman" w:hAnsi="Times New Roman"/>
          <w:sz w:val="26"/>
        </w:rPr>
        <w:t>Đạt chuẩn xuất bản tạp chí quốc tế Q1/Scopus và Tạp chí Giao thông vận tải, độ phân giải từ $3000 \times 1650$ đến $4200 \times 1650$ pixels (`FIG_01` đến `FIG_07`).</w:t>
      </w:r>
    </w:p>
    <w:p>
      <w:pPr>
        <w:pStyle w:val="ListNumber"/>
        <w:spacing w:after="40" w:line="300" w:lineRule="auto"/>
      </w:pPr>
      <w:r>
        <w:rPr>
          <w:rFonts w:ascii="Times New Roman" w:hAnsi="Times New Roman"/>
          <w:sz w:val="26"/>
        </w:rPr>
        <w:t>**Hệ thống WebGIS tương tác giám sát và dự báo lún:**</w:t>
      </w:r>
    </w:p>
    <w:p>
      <w:pPr>
        <w:pStyle w:val="ListBullet"/>
        <w:spacing w:after="40" w:line="300" w:lineRule="auto"/>
      </w:pPr>
      <w:r>
        <w:rPr>
          <w:rFonts w:ascii="Times New Roman" w:hAnsi="Times New Roman"/>
          <w:sz w:val="26"/>
        </w:rPr>
        <w:t>Ứng dụng WebGIS độc lập (`webgis_settlement_map.html`), chạy trực tiếp trên trình duyệt web, tích hợp 60 công trình thực tế, thanh trượt $V_L$ thời gian thực, biểu đồ phễu lún Chart.js và các lớp dữ liệu GeoJSON chuẩn WGS-84.</w:t>
      </w:r>
    </w:p>
    <w:p>
      <w:pPr>
        <w:pStyle w:val="ListNumber"/>
        <w:spacing w:after="40" w:line="300" w:lineRule="auto"/>
      </w:pPr>
      <w:r>
        <w:rPr>
          <w:rFonts w:ascii="Times New Roman" w:hAnsi="Times New Roman"/>
          <w:sz w:val="26"/>
        </w:rPr>
        <w:t>**Hồ sơ kiểm toán khoa học và bàn giao (Audit Gates 1–5):**</w:t>
      </w:r>
    </w:p>
    <w:p>
      <w:pPr>
        <w:pStyle w:val="ListBullet"/>
        <w:spacing w:after="40" w:line="300" w:lineRule="auto"/>
      </w:pPr>
      <w:r>
        <w:rPr>
          <w:rFonts w:ascii="Times New Roman" w:hAnsi="Times New Roman"/>
          <w:sz w:val="26"/>
        </w:rPr>
        <w:t>Biên bản kiểm toán xác nhận đã vượt qua 5 cổng kiểm soát chất lượng nghiêm ngặt (Gate 1 đến Gate 5) và Bảng mã băm SHA-256 niêm phong bất biến cho toàn bộ 31 tệp tin.</w:t>
      </w:r>
    </w:p>
    <w:p>
      <w:pPr>
        <w:spacing w:before="160" w:after="40"/>
        <w:jc w:val="left"/>
      </w:pPr>
      <w:r>
        <w:rPr>
          <w:rFonts w:ascii="Times New Roman" w:hAnsi="Times New Roman"/>
          <w:b/>
          <w:sz w:val="26"/>
        </w:rPr>
        <w:t>4. ĐỀ NGHỊ CỦA NHÓM NGHIÊN CỨU</w:t>
      </w:r>
    </w:p>
    <w:p>
      <w:pPr>
        <w:spacing w:after="80"/>
        <w:ind w:firstLine="567"/>
        <w:jc w:val="both"/>
      </w:pPr>
      <w:r>
        <w:rPr>
          <w:rFonts w:ascii="Times New Roman" w:hAnsi="Times New Roman"/>
          <w:sz w:val="26"/>
        </w:rPr>
        <w:t>Kính đề nghị Ban Chủ nhiệm Bộ môn Địa kỹ thuật và Không gian ngầm:</w:t>
      </w:r>
    </w:p>
    <w:p>
      <w:pPr>
        <w:pStyle w:val="ListNumber"/>
        <w:spacing w:after="40" w:line="300" w:lineRule="auto"/>
      </w:pPr>
      <w:r>
        <w:rPr>
          <w:rFonts w:ascii="Times New Roman" w:hAnsi="Times New Roman"/>
          <w:sz w:val="26"/>
        </w:rPr>
        <w:t>Tiếp nhận trọn bộ hồ sơ và sản phẩm nghiên cứu Giai đoạn 1;</w:t>
      </w:r>
    </w:p>
    <w:p>
      <w:pPr>
        <w:pStyle w:val="ListNumber"/>
        <w:spacing w:after="40" w:line="300" w:lineRule="auto"/>
      </w:pPr>
      <w:r>
        <w:rPr>
          <w:rFonts w:ascii="Times New Roman" w:hAnsi="Times New Roman"/>
          <w:sz w:val="26"/>
        </w:rPr>
        <w:t>Phân công các Thầy/Cô phản biện chuyên môn đánh giá chi tiết;</w:t>
      </w:r>
    </w:p>
    <w:p>
      <w:pPr>
        <w:pStyle w:val="ListNumber"/>
        <w:spacing w:after="40" w:line="300" w:lineRule="auto"/>
      </w:pPr>
      <w:r>
        <w:rPr>
          <w:rFonts w:ascii="Times New Roman" w:hAnsi="Times New Roman"/>
          <w:sz w:val="26"/>
        </w:rPr>
        <w:t>Bố trí lịch họp nghiệm thu thử để Nhóm nghiên cứu báo cáo trực tiếp, tiếp thu ý kiến phản biện của các chuyên gia nhằm hoàn thiện hồ sơ trước khi công bố và nghiệm thu cấp Khoa/Trường.</w:t>
      </w:r>
    </w:p>
    <w:p>
      <w:pPr>
        <w:spacing w:after="80"/>
        <w:ind w:firstLine="567"/>
        <w:jc w:val="both"/>
      </w:pPr>
      <w:r>
        <w:rPr>
          <w:rFonts w:ascii="Times New Roman" w:hAnsi="Times New Roman"/>
          <w:sz w:val="26"/>
        </w:rPr>
        <w:t>Nhóm nghiên cứu xin trân trọng cảm ơn sự quan tâm, chỉ đạo và giúp đỡ quý báu của các Thầy/Cô trong Bộ môn!</w:t>
      </w:r>
    </w:p>
    <w:p>
      <w:pPr>
        <w:spacing w:after="80"/>
        <w:ind w:firstLine="567"/>
        <w:jc w:val="both"/>
      </w:pPr>
      <w:r>
        <w:rPr>
          <w:rFonts w:ascii="Times New Roman" w:hAnsi="Times New Roman"/>
          <w:sz w:val="26"/>
        </w:rPr>
        <w:t>*Hà Nội, ngày 15 tháng 10 năm 2026*</w:t>
      </w:r>
    </w:p>
    <w:p>
      <w:pPr>
        <w:spacing w:after="80"/>
        <w:ind w:firstLine="567"/>
        <w:jc w:val="both"/>
      </w:pPr>
      <w:r>
        <w:rPr>
          <w:rFonts w:ascii="Times New Roman" w:hAnsi="Times New Roman"/>
          <w:sz w:val="26"/>
        </w:rPr>
        <w:t>**ĐẠI DIỆN NHÓM NGHIÊN CỨU**</w:t>
      </w:r>
    </w:p>
    <w:p>
      <w:pPr>
        <w:spacing w:after="80"/>
        <w:ind w:firstLine="567"/>
        <w:jc w:val="both"/>
      </w:pPr>
      <w:r>
        <w:rPr>
          <w:rFonts w:ascii="Times New Roman" w:hAnsi="Times New Roman"/>
          <w:sz w:val="26"/>
        </w:rPr>
        <w:t>*(Ký và ghi rõ họ tên)*</w:t>
      </w:r>
    </w:p>
    <w:p>
      <w:pPr>
        <w:spacing w:after="80"/>
        <w:ind w:firstLine="567"/>
        <w:jc w:val="both"/>
      </w:pPr>
      <w:r>
        <w:rPr>
          <w:rFonts w:ascii="Times New Roman" w:hAnsi="Times New Roman"/>
          <w:sz w:val="26"/>
        </w:rPr>
        <w:t>**TS. NGUYỄN HẢI HÀ**</w:t>
      </w:r>
    </w:p>
    <w:sectPr w:rsidR="00FC693F" w:rsidRPr="0006063C" w:rsidSect="00034616">
      <w:pgSz w:w="12240" w:h="15840"/>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12" w:lineRule="auto" w:after="80"/>
    </w:pPr>
    <w:rPr>
      <w:rFonts w:ascii="Times New Roman" w:hAnsi="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