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TRƯỜNG ĐẠI HỌC GIAO THÔNG VẬN TẢI - KHOA CÔNG TRÌNH VÀ MÔI TRƯỜNG</w:t>
      </w:r>
    </w:p>
    <w:p>
      <w:pPr>
        <w:spacing w:after="280" w:before="0" w:line="276" w:lineRule="auto"/>
        <w:jc w:val="center"/>
      </w:pPr>
      <w:r>
        <w:rPr>
          <w:rFonts w:ascii="Times New Roman" w:hAnsi="Times New Roman"/>
          <w:b/>
          <w:i w:val="0"/>
          <w:sz w:val="22"/>
        </w:rPr>
        <w:t>BỘ MÔN ĐỊA KỸ THUẬT VÀ KHÔNG GIAN NGẦM</w:t>
      </w:r>
    </w:p>
    <w:p>
      <w:pPr>
        <w:spacing w:after="240" w:before="0" w:line="276" w:lineRule="auto"/>
        <w:jc w:val="center"/>
      </w:pPr>
      <w:r>
        <w:rPr>
          <w:rFonts w:ascii="Times New Roman" w:hAnsi="Times New Roman"/>
          <w:b/>
          <w:i w:val="0"/>
          <w:color w:val="1F497D"/>
          <w:sz w:val="28"/>
        </w:rPr>
        <w:t>BÁO CÁO TÓM TẮT KẾT QUẢ NGHIÊN CỨU VÀ BÀN GIAO GIAI ĐOẠN 2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**Thời gian thực hiện:** Tháng 10/2026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**Chủ nhiệm đề tài:** TS. Nguyễn Hải Hà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after="80" w:before="160" w:line="276" w:lineRule="auto"/>
        <w:jc w:val="both"/>
      </w:pPr>
      <w:r>
        <w:rPr>
          <w:rFonts w:ascii="Times New Roman" w:hAnsi="Times New Roman"/>
          <w:b/>
          <w:i w:val="0"/>
          <w:color w:val="1F497D"/>
          <w:sz w:val="25"/>
        </w:rPr>
        <w:t>I. CÁC ĐỘT PHÁ KHOA HỌC CHÍNH ĐẠT ĐƯỢC TRONG GIAI ĐOẠN 2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1. **Làm chủ mô hình giải tích 3 chiều Loganathan &amp; Poulos (1998):**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Xác lập trường chuyển vị không gian 3D $S(x, y)$ dọc hành lang hầm Metro 3.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Chứng minh về mặt định lượng cơ chế động học tiến gương TBM: 50% độ lún diễn ra ngay tại thời điểm gương đào đi qua ($y = y_f$), 25% biến dạng phát triển trước gương và 25% lún cố kết sau đuôi khiên.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Giải quyết triệt để bài toán tương tác không gian hầm đôi với cự ly $d = 13.0</w:t>
        <w:tab/>
        <w:t>ext{ m}$ và độ lệch bước đào $\Delta y_{</w:t>
        <w:tab/>
        <w:t>ext{lag}} = 50</w:t>
        <w:tab/>
        <w:t>ext{ m}$.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2. **Khung phân tích độ nhạy ngẫu nhiên toàn cục (GSA) với 10,000 mẫu Monte Carlo:**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Thực hiện mô phỏng ngẫu nhiên Latin Hypercube quy mô lớn trên không gian 5 tham số bất định cốt lõi ($V_L, z_0, K, E,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u$).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Kết quả phân rã phương sai Sobol chỉ ra: $V_L$ chiếm tới **67.2%** tổng phương sai lún mặt đất ($S_i = 0.672$), $K$ chiếm **16.5%**, $z_0$ chiếm **13.8%**, và các tham số còn lại chiếm dưới 2.5%.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Xác lập khoảng tin cậy 90% của độ lún cực đại hầm đôi từ $11.8</w:t>
        <w:tab/>
        <w:t>ext{ mm}$ đến $27.4</w:t>
        <w:tab/>
        <w:t>ext{ mm}$, với giá trị trung vị $P_{50} = 18.8</w:t>
        <w:tab/>
        <w:t>ext{ mm}$.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3. **Mô hình hóa trường biến dạng tensor và phân cấp nguy cơ 100 công trình thực tế:**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Mở rộng quy mô từ 60 lên 100 công trình thực tế dọc trục Kim Mã - Cát Linh - Quốc Tử Giám - Ga Hà Nội.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Ứng dụng lý thuyết biến dạng uốn, trượt và kéo ngang của Burland (1995) &amp; Boscardin-Cording (1989), xác định chính xác biến dạng kéo tổng cộng $\epsilon_{\max}$.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Phân loại nguy cơ: Tại kịch bản chuẩn $V_L = 1.0\%$, có 72 CT Cấp 0, 16 CT Cấp 1, 8 CT Cấp 2 và 4 CT Cấp 3. Tại kịch bản bất lợi $V_L = 2.0\%$, số lượng công trình Cấp 3 và 4 vọt lên 28 CT, đòi hỏi biện pháp phụt vữa bù lún khe hở đuôi khiên và kích cọc gia cố trước thi công.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4. **Nâng cấp Hệ thống WebGIS 2.0 tương tác đa năng:**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Hoàn thiện ứng dụng `webgis_settlement_advance_v2.html` chạy độc lập trên trình duyệt.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Bổ sung thanh trượt động lực học mô phỏng bước tiến khiên đào TBM từ Ring 0 đến Ring 2,500.</w:t>
      </w:r>
    </w:p>
    <w:p>
      <w:pPr>
        <w:spacing w:after="4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Trực quan hóa bản đồ vệ tinh, biểu đồ kép trắc dọc $U_z(y)$ và trắc ngang $S(x)$ thời gian thực, lọc và xuất dữ liệu CSV 100 công trình phục vụ hiện trường.</w:t>
      </w:r>
    </w:p>
    <w:p>
      <w:pPr>
        <w:spacing w:after="80" w:before="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---</w:t>
      </w:r>
    </w:p>
    <w:p>
      <w:pPr>
        <w:spacing w:after="80" w:before="160" w:line="276" w:lineRule="auto"/>
        <w:jc w:val="both"/>
      </w:pPr>
      <w:r>
        <w:rPr>
          <w:rFonts w:ascii="Times New Roman" w:hAnsi="Times New Roman"/>
          <w:b/>
          <w:i w:val="0"/>
          <w:color w:val="1F497D"/>
          <w:sz w:val="25"/>
        </w:rPr>
        <w:t>II. BẢNG TỔNG HỢP SO SÁNH VƯỢT CHỈ TIÊU GIAI ĐOẠN 2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