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i w:val="0"/>
          <w:sz w:val="22"/>
        </w:rPr>
        <w:t>TRƯỜNG ĐẠI HỌC GIAO THÔNG VẬN TẢI - KHOA CÔNG TRÌNH VÀ MÔI TRƯỜNG</w:t>
      </w:r>
    </w:p>
    <w:p>
      <w:pPr>
        <w:spacing w:after="280" w:before="0" w:line="276" w:lineRule="auto"/>
        <w:jc w:val="center"/>
      </w:pPr>
      <w:r>
        <w:rPr>
          <w:rFonts w:ascii="Times New Roman" w:hAnsi="Times New Roman"/>
          <w:b/>
          <w:i w:val="0"/>
          <w:sz w:val="22"/>
        </w:rPr>
        <w:t>BỘ MÔN ĐỊA KỸ THUẬT VÀ KHÔNG GIAN NGẦM</w:t>
      </w:r>
    </w:p>
    <w:p>
      <w:pPr>
        <w:spacing w:after="240" w:before="0" w:line="276" w:lineRule="auto"/>
        <w:jc w:val="center"/>
      </w:pPr>
      <w:r>
        <w:rPr>
          <w:rFonts w:ascii="Times New Roman" w:hAnsi="Times New Roman"/>
          <w:b/>
          <w:i w:val="0"/>
          <w:color w:val="1F497D"/>
          <w:sz w:val="28"/>
        </w:rPr>
        <w:t>TỜ TRÌNH XIN NGHIỆM THU CHÍNH THỨC GIAI ĐOẠN 2</w:t>
      </w:r>
    </w:p>
    <w:p>
      <w:pPr>
        <w:spacing w:after="40" w:before="0" w:line="276" w:lineRule="auto"/>
        <w:jc w:val="both"/>
      </w:pPr>
      <w:r>
        <w:rPr>
          <w:rFonts w:ascii="Times New Roman" w:hAnsi="Times New Roman"/>
          <w:b w:val="0"/>
          <w:i w:val="0"/>
          <w:sz w:val="22"/>
        </w:rPr>
        <w:t>• Ban Chủ nhiệm Khoa Công trình và Môi trường;</w:t>
      </w:r>
    </w:p>
    <w:p>
      <w:pPr>
        <w:spacing w:after="40" w:before="0" w:line="276" w:lineRule="auto"/>
        <w:jc w:val="both"/>
      </w:pPr>
      <w:r>
        <w:rPr>
          <w:rFonts w:ascii="Times New Roman" w:hAnsi="Times New Roman"/>
          <w:b w:val="0"/>
          <w:i w:val="0"/>
          <w:sz w:val="22"/>
        </w:rPr>
        <w:t>• Ban Chủ nhiệm Bộ môn Địa kỹ thuật và Không gian ngầm;</w:t>
      </w:r>
    </w:p>
    <w:p>
      <w:pPr>
        <w:spacing w:after="40" w:before="0" w:line="276" w:lineRule="auto"/>
        <w:jc w:val="both"/>
      </w:pPr>
      <w:r>
        <w:rPr>
          <w:rFonts w:ascii="Times New Roman" w:hAnsi="Times New Roman"/>
          <w:b w:val="0"/>
          <w:i w:val="0"/>
          <w:sz w:val="22"/>
        </w:rPr>
        <w:t>• Các Thầy/Cô thành viên Hội đồng nghiệm thu chuyên môn.</w:t>
      </w:r>
    </w:p>
    <w:p>
      <w:pPr>
        <w:spacing w:after="80" w:before="0" w:line="276" w:lineRule="auto"/>
        <w:jc w:val="both"/>
      </w:pPr>
      <w:r>
        <w:rPr>
          <w:rFonts w:ascii="Times New Roman" w:hAnsi="Times New Roman"/>
          <w:b w:val="0"/>
          <w:i w:val="0"/>
          <w:sz w:val="22"/>
        </w:rPr>
        <w:t>---</w:t>
      </w:r>
    </w:p>
    <w:p>
      <w:pPr>
        <w:spacing w:after="80" w:before="160" w:line="276" w:lineRule="auto"/>
        <w:jc w:val="both"/>
      </w:pPr>
      <w:r>
        <w:rPr>
          <w:rFonts w:ascii="Times New Roman" w:hAnsi="Times New Roman"/>
          <w:b/>
          <w:i w:val="0"/>
          <w:color w:val="1F497D"/>
          <w:sz w:val="25"/>
        </w:rPr>
        <w:t>1. THÔNG TIN CHUNG</w:t>
      </w:r>
    </w:p>
    <w:p>
      <w:pPr>
        <w:spacing w:after="40" w:before="0" w:line="276" w:lineRule="auto"/>
        <w:jc w:val="both"/>
      </w:pPr>
      <w:r>
        <w:rPr>
          <w:rFonts w:ascii="Times New Roman" w:hAnsi="Times New Roman"/>
          <w:b w:val="0"/>
          <w:i w:val="0"/>
          <w:sz w:val="22"/>
        </w:rPr>
        <w:t>• **Tên đề tài:** Nghiên cứu đánh giá độ nhạy và dự báo vùng ảnh hưởng lún mặt đất do thi công hầm khiên đào (TBM) đoạn S9–S12 Metro Tuyến 3 Hà Nội bằng phương pháp giải tích kết hợp WebGIS.</w:t>
      </w:r>
    </w:p>
    <w:p>
      <w:pPr>
        <w:spacing w:after="40" w:before="0" w:line="276" w:lineRule="auto"/>
        <w:jc w:val="both"/>
      </w:pPr>
      <w:r>
        <w:rPr>
          <w:rFonts w:ascii="Times New Roman" w:hAnsi="Times New Roman"/>
          <w:b w:val="0"/>
          <w:i w:val="0"/>
          <w:sz w:val="22"/>
        </w:rPr>
        <w:t>• **Phân đoạn thực hiện:** GIAI ĐOẠN 2 - Nâng cấp mô hình 3D, phân tích độ nhạy ngẫu nhiên toàn cục Sobol (10,000 mẫu), đánh giá biến dạng 100 công trình thực tế (Burland 1995) và hoàn thiện hệ thống WebGIS 2.0.</w:t>
      </w:r>
    </w:p>
    <w:p>
      <w:pPr>
        <w:spacing w:after="40" w:before="0" w:line="276" w:lineRule="auto"/>
        <w:jc w:val="both"/>
      </w:pPr>
      <w:r>
        <w:rPr>
          <w:rFonts w:ascii="Times New Roman" w:hAnsi="Times New Roman"/>
          <w:b w:val="0"/>
          <w:i w:val="0"/>
          <w:sz w:val="22"/>
        </w:rPr>
        <w:t>• **Người thực hiện:** TS. Nguyễn Hải Hà &amp; Nhóm nghiên cứu.</w:t>
      </w:r>
    </w:p>
    <w:p>
      <w:pPr>
        <w:spacing w:after="40" w:before="0" w:line="276" w:lineRule="auto"/>
        <w:jc w:val="both"/>
      </w:pPr>
      <w:r>
        <w:rPr>
          <w:rFonts w:ascii="Times New Roman" w:hAnsi="Times New Roman"/>
          <w:b w:val="0"/>
          <w:i w:val="0"/>
          <w:sz w:val="22"/>
        </w:rPr>
        <w:t>• **Đơn vị quản lý chuyên môn:** Bộ môn Địa kỹ thuật và Không gian ngầm.</w:t>
      </w:r>
    </w:p>
    <w:p>
      <w:pPr>
        <w:spacing w:after="80" w:before="0" w:line="276" w:lineRule="auto"/>
        <w:jc w:val="both"/>
      </w:pPr>
      <w:r>
        <w:rPr>
          <w:rFonts w:ascii="Times New Roman" w:hAnsi="Times New Roman"/>
          <w:b w:val="0"/>
          <w:i w:val="0"/>
          <w:sz w:val="22"/>
        </w:rPr>
        <w:t>---</w:t>
      </w:r>
    </w:p>
    <w:p>
      <w:pPr>
        <w:spacing w:after="80" w:before="160" w:line="276" w:lineRule="auto"/>
        <w:jc w:val="both"/>
      </w:pPr>
      <w:r>
        <w:rPr>
          <w:rFonts w:ascii="Times New Roman" w:hAnsi="Times New Roman"/>
          <w:b/>
          <w:i w:val="0"/>
          <w:color w:val="1F497D"/>
          <w:sz w:val="25"/>
        </w:rPr>
        <w:t>2. TỔNG HỢP CÁC SẢN PHẨM BÀN GIAO NỘP KÈM GIAI ĐOẠN 2</w:t>
      </w:r>
    </w:p>
    <w:p>
      <w:pPr>
        <w:spacing w:after="80" w:before="0" w:line="276" w:lineRule="auto"/>
        <w:jc w:val="both"/>
      </w:pPr>
      <w:r>
        <w:rPr>
          <w:rFonts w:ascii="Times New Roman" w:hAnsi="Times New Roman"/>
          <w:b w:val="0"/>
          <w:i w:val="0"/>
          <w:sz w:val="22"/>
        </w:rPr>
        <w:t>Trọn bộ sản phẩm nộp nghiệm thu Giai đoạn 2 bao gồm:</w:t>
      </w:r>
    </w:p>
    <w:p>
      <w:pPr>
        <w:spacing w:after="80" w:before="0" w:line="276" w:lineRule="auto"/>
        <w:jc w:val="both"/>
      </w:pPr>
      <w:r>
        <w:rPr>
          <w:rFonts w:ascii="Times New Roman" w:hAnsi="Times New Roman"/>
          <w:b w:val="0"/>
          <w:i w:val="0"/>
          <w:sz w:val="22"/>
        </w:rPr>
        <w:t>1. **01 Báo cáo khoa học toàn văn hoàn chỉnh Giai đoạn 2:** Định dạng Markdown và bản in ấn Microsoft Word DOCX (chuẩn căn lề 3-2-2-2 cm, nhúng 7 hình ảnh 300 DPI và bảng biểu).</w:t>
      </w:r>
    </w:p>
    <w:p>
      <w:pPr>
        <w:spacing w:after="80" w:before="0" w:line="276" w:lineRule="auto"/>
        <w:jc w:val="both"/>
      </w:pPr>
      <w:r>
        <w:rPr>
          <w:rFonts w:ascii="Times New Roman" w:hAnsi="Times New Roman"/>
          <w:b w:val="0"/>
          <w:i w:val="0"/>
          <w:sz w:val="22"/>
        </w:rPr>
        <w:t>2. **04 Workbook Excel chuyên nghiệp Giai đoạn 2:**</w:t>
      </w:r>
    </w:p>
    <w:p>
      <w:pPr>
        <w:spacing w:after="40" w:before="0" w:line="276" w:lineRule="auto"/>
        <w:jc w:val="both"/>
      </w:pPr>
      <w:r>
        <w:rPr>
          <w:rFonts w:ascii="Times New Roman" w:hAnsi="Times New Roman"/>
          <w:b w:val="0"/>
          <w:i w:val="0"/>
          <w:sz w:val="22"/>
        </w:rPr>
        <w:t>• `TBM_HANOI_G2_LOGANATHAN_POULOS_3D.xlsx`: Động cơ giải tích 3 chiều và trường lún dọc trục hầm.</w:t>
      </w:r>
    </w:p>
    <w:p>
      <w:pPr>
        <w:spacing w:after="40" w:before="0" w:line="276" w:lineRule="auto"/>
        <w:jc w:val="both"/>
      </w:pPr>
      <w:r>
        <w:rPr>
          <w:rFonts w:ascii="Times New Roman" w:hAnsi="Times New Roman"/>
          <w:b w:val="0"/>
          <w:i w:val="0"/>
          <w:sz w:val="22"/>
        </w:rPr>
        <w:t>• `TBM_HANOI_G2_MONTE_CARLO_SENSITIVITY.xlsx`: 10,000 mẫu mô phỏng số Latin Hypercube và chỉ số Sobol.</w:t>
      </w:r>
    </w:p>
    <w:p>
      <w:pPr>
        <w:spacing w:after="40" w:before="0" w:line="276" w:lineRule="auto"/>
        <w:jc w:val="both"/>
      </w:pPr>
      <w:r>
        <w:rPr>
          <w:rFonts w:ascii="Times New Roman" w:hAnsi="Times New Roman"/>
          <w:b w:val="0"/>
          <w:i w:val="0"/>
          <w:sz w:val="22"/>
        </w:rPr>
        <w:t>• `TBM_HANOI_G2_BUILDING_STRAIN_DAMAGE_100.xlsx`: Đánh giá chi tiết trường biến dạng uốn, trượt, kéo ngang cho 100 công trình thực tế.</w:t>
      </w:r>
    </w:p>
    <w:p>
      <w:pPr>
        <w:spacing w:after="40" w:before="0" w:line="276" w:lineRule="auto"/>
        <w:jc w:val="both"/>
      </w:pPr>
      <w:r>
        <w:rPr>
          <w:rFonts w:ascii="Times New Roman" w:hAnsi="Times New Roman"/>
          <w:b w:val="0"/>
          <w:i w:val="0"/>
          <w:sz w:val="22"/>
        </w:rPr>
        <w:t>• `EVIDENCE_TRACEABILITY_AUDIT_MATRIX_GIAI_DOAN_2.xlsx`: Ma trận truy xuất nguồn gốc học thuật Gate 6–8.</w:t>
      </w:r>
    </w:p>
    <w:p>
      <w:pPr>
        <w:spacing w:after="80" w:before="0" w:line="276" w:lineRule="auto"/>
        <w:jc w:val="both"/>
      </w:pPr>
      <w:r>
        <w:rPr>
          <w:rFonts w:ascii="Times New Roman" w:hAnsi="Times New Roman"/>
          <w:b w:val="0"/>
          <w:i w:val="0"/>
          <w:sz w:val="22"/>
        </w:rPr>
        <w:t>3. **07 Hình vẽ đồ họa khoa học độ phân giải cao 300 DPI:** Từ `FIG_08` đến `FIG_14`, đạt chuẩn xuất bản tạp chí quốc tế Q1 và Tạp chí Giao thông vận tải.</w:t>
      </w:r>
    </w:p>
    <w:p>
      <w:pPr>
        <w:spacing w:after="80" w:before="0" w:line="276" w:lineRule="auto"/>
        <w:jc w:val="both"/>
      </w:pPr>
      <w:r>
        <w:rPr>
          <w:rFonts w:ascii="Times New Roman" w:hAnsi="Times New Roman"/>
          <w:b w:val="0"/>
          <w:i w:val="0"/>
          <w:sz w:val="22"/>
        </w:rPr>
        <w:t>4. **01 Nền tảng WebGIS 2.0 tương tác trực quan:** Ứng dụng `webgis_settlement_advance_v2.html` chạy ngoại tuyến, tích hợp thanh trượt bước tiến khiên đào TBM, bản đồ vệ tinh và biểu đồ lún kép thời gian thực.</w:t>
      </w:r>
    </w:p>
    <w:p>
      <w:pPr>
        <w:spacing w:after="80" w:before="0" w:line="276" w:lineRule="auto"/>
        <w:jc w:val="both"/>
      </w:pPr>
      <w:r>
        <w:rPr>
          <w:rFonts w:ascii="Times New Roman" w:hAnsi="Times New Roman"/>
          <w:b w:val="0"/>
          <w:i w:val="0"/>
          <w:sz w:val="22"/>
        </w:rPr>
        <w:t>5. **01 Bộ sao lưu dữ liệu dùng chung Giai đoạn 1:** Toàn bộ 4 file Excel, 3 lớp GeoJSON, 7 hình ảnh và hồ sơ Giai đoạn 1 đã được nhân bản sang thư mục `00_SAO_LUU_DU_LIEU_DAU_VAO_GIAI_DOAN_1/` và kiểm chứng mã băm SHA-256 trùng khớp 1:1, bảo toàn tuyệt đối sản phẩm Giai đoạn 1.</w:t>
      </w:r>
    </w:p>
    <w:p>
      <w:pPr>
        <w:spacing w:after="80" w:before="0" w:line="276" w:lineRule="auto"/>
        <w:jc w:val="both"/>
      </w:pPr>
      <w:r>
        <w:rPr>
          <w:rFonts w:ascii="Times New Roman" w:hAnsi="Times New Roman"/>
          <w:b w:val="0"/>
          <w:i w:val="0"/>
          <w:sz w:val="22"/>
        </w:rPr>
        <w:t>6. **Hồ sơ kiểm toán Gate 6, Gate 7, Gate 8:** Biên bản kiểm toán xác nhận 100% tiêu chí khoa học đã được phê duyệt.</w:t>
      </w:r>
    </w:p>
    <w:p>
      <w:pPr>
        <w:spacing w:after="80" w:before="0" w:line="276" w:lineRule="auto"/>
        <w:jc w:val="both"/>
      </w:pPr>
      <w:r>
        <w:rPr>
          <w:rFonts w:ascii="Times New Roman" w:hAnsi="Times New Roman"/>
          <w:b w:val="0"/>
          <w:i w:val="0"/>
          <w:sz w:val="22"/>
        </w:rPr>
        <w:t>Kính trình Hội đồng nghiệm thu xem xét thông qua!</w:t>
      </w:r>
    </w:p>
    <w:p>
      <w:pPr>
        <w:spacing w:after="80" w:before="0" w:line="276" w:lineRule="auto"/>
        <w:jc w:val="both"/>
      </w:pPr>
      <w:r>
        <w:rPr>
          <w:rFonts w:ascii="Times New Roman" w:hAnsi="Times New Roman"/>
          <w:b w:val="0"/>
          <w:i w:val="0"/>
          <w:sz w:val="22"/>
        </w:rPr>
        <w:t>*Hà Nội, ngày 15 tháng 10 năm 2026*</w:t>
      </w:r>
    </w:p>
    <w:p>
      <w:pPr>
        <w:spacing w:after="80" w:before="0" w:line="276" w:lineRule="auto"/>
        <w:jc w:val="both"/>
      </w:pPr>
      <w:r>
        <w:rPr>
          <w:rFonts w:ascii="Times New Roman" w:hAnsi="Times New Roman"/>
          <w:b w:val="0"/>
          <w:i w:val="0"/>
          <w:sz w:val="22"/>
        </w:rPr>
        <w:t>**ĐẠI DIỆN NHÓM NGHIÊN CỨU**</w:t>
      </w:r>
    </w:p>
    <w:p>
      <w:pPr>
        <w:spacing w:after="80" w:before="0" w:line="276" w:lineRule="auto"/>
        <w:jc w:val="both"/>
      </w:pPr>
      <w:r>
        <w:rPr>
          <w:rFonts w:ascii="Times New Roman" w:hAnsi="Times New Roman"/>
          <w:b w:val="0"/>
          <w:i w:val="0"/>
          <w:sz w:val="22"/>
        </w:rPr>
        <w:t>**TS. NGUYỄN HẢI HÀ**</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