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3"/>
      </w:tblGrid>
      <w:tr>
        <w:tc>
          <w:tcPr>
            <w:tcW w:type="dxa" w:w="9403"/>
            <w:shd w:fill="1B365D"/>
            <w:tcMar>
              <w:top w:w="180" w:type="dxa"/>
              <w:bottom w:w="180" w:type="dxa"/>
              <w:left w:w="200" w:type="dxa"/>
              <w:right w:w="200" w:type="dxa"/>
            </w:tcMar>
          </w:tcPr>
          <w:p>
            <w:pPr>
              <w:spacing w:after="40"/>
              <w:jc w:val="center"/>
            </w:pPr>
            <w:r>
              <w:rPr>
                <w:rFonts w:ascii="Times New Roman" w:hAnsi="Times New Roman"/>
                <w:b/>
                <w:color w:val="FFFFFF"/>
                <w:sz w:val="28"/>
              </w:rPr>
              <w:t>BÁO CÁO KHOA HỌC TOÀN VĂN HOÀN CHỈNH GIAI ĐOẠN 3</w:t>
            </w:r>
          </w:p>
          <w:p>
            <w:pPr>
              <w:spacing w:before="40"/>
              <w:jc w:val="center"/>
            </w:pPr>
            <w:r>
              <w:rPr>
                <w:rFonts w:ascii="Times New Roman" w:hAnsi="Times New Roman"/>
                <w:i/>
                <w:color w:val="C8DCF0"/>
                <w:sz w:val="20"/>
              </w:rPr>
              <w:t>TƯƠNG TÁC ĐA TRƯỜNG THẤM - BIẾN DẠNG, 3D FEM VÀ HỆ THỐNG DIGITAL TWIN HẦM TBM S9-S12 METRO 3 HÀ NỘI</w:t>
            </w:r>
          </w:p>
        </w:tc>
      </w:tr>
    </w:tbl>
    <w:p>
      <w:pPr>
        <w:spacing w:after="120"/>
      </w:pPr>
    </w:p>
    <w:p>
      <w:pPr>
        <w:spacing w:before="240" w:after="80"/>
      </w:pPr>
      <w:r>
        <w:rPr>
          <w:rFonts w:ascii="Times New Roman" w:hAnsi="Times New Roman"/>
          <w:b/>
          <w:color w:val="1B365D"/>
          <w:sz w:val="26"/>
        </w:rPr>
        <w:t>DỰ ÁN LUẬN ÁN: TƯƠNG TÁC ĐA TRƯỜNG THẤM - BIẾN DẠNG, MÔ HÌNH HÓA SỐ 3D FEM VÀ HỆ THỐNG DIGITAL TWIN DỰ BÁO LÚN THỜI GIAN THỰC TBM S9–S12 METRO TUYẾN 3 HÀ NỘI</w:t>
      </w:r>
    </w:p>
    <w:p>
      <w:pPr>
        <w:spacing w:after="80" w:line="276" w:lineRule="auto"/>
        <w:jc w:val="both"/>
      </w:pPr>
      <w:r>
        <w:rPr>
          <w:rFonts w:ascii="Times New Roman" w:hAnsi="Times New Roman"/>
          <w:sz w:val="22"/>
        </w:rPr>
        <w:t>**Mã đề tài nghiên cứu:** `TBM_HANOI_EIA_2027_STAGE_3`</w:t>
      </w:r>
    </w:p>
    <w:p>
      <w:pPr>
        <w:spacing w:after="80" w:line="276" w:lineRule="auto"/>
        <w:jc w:val="both"/>
      </w:pPr>
      <w:r>
        <w:rPr>
          <w:rFonts w:ascii="Times New Roman" w:hAnsi="Times New Roman"/>
          <w:sz w:val="22"/>
        </w:rPr>
        <w:t>**Cơ quan chủ quản:** Bộ môn Địa kỹ thuật và Không gian ngầm, Khoa Công trình và Môi trường - Trường Đại học Giao thông vận tải</w:t>
      </w:r>
    </w:p>
    <w:p>
      <w:pPr>
        <w:spacing w:after="80" w:line="276" w:lineRule="auto"/>
        <w:jc w:val="both"/>
      </w:pPr>
      <w:r>
        <w:rPr>
          <w:rFonts w:ascii="Times New Roman" w:hAnsi="Times New Roman"/>
          <w:sz w:val="22"/>
        </w:rPr>
        <w:t>**Chủ nhiệm đề tài / Nhóm tác giả:** TS. Nguyễn Hải Hà &amp; Nhóm nghiên cứu đa tác tử</w:t>
      </w:r>
    </w:p>
    <w:p>
      <w:pPr>
        <w:spacing w:after="80" w:line="276" w:lineRule="auto"/>
        <w:jc w:val="both"/>
      </w:pPr>
      <w:r>
        <w:rPr>
          <w:rFonts w:ascii="Times New Roman" w:hAnsi="Times New Roman"/>
          <w:sz w:val="22"/>
        </w:rPr>
        <w:t>**Thời gian hoàn thành:** Tháng 10/2026</w:t>
      </w:r>
    </w:p>
    <w:p>
      <w:pPr>
        <w:spacing w:after="80" w:line="276" w:lineRule="auto"/>
        <w:jc w:val="both"/>
      </w:pPr>
      <w:r>
        <w:rPr>
          <w:rFonts w:ascii="Times New Roman" w:hAnsi="Times New Roman"/>
          <w:sz w:val="22"/>
        </w:rPr>
        <w:t>**Quy chuẩn học thuật:** Tiêu chuẩn Luận án Tiến sĩ / Thạc sĩ Kỹ thuật, TCVN 10398:2014, Eurocode 7, ISO 2394</w:t>
      </w:r>
    </w:p>
    <w:p>
      <w:pPr>
        <w:spacing w:before="200" w:after="60"/>
      </w:pPr>
      <w:r>
        <w:rPr>
          <w:rFonts w:ascii="Times New Roman" w:hAnsi="Times New Roman"/>
          <w:b/>
          <w:color w:val="2C3E50"/>
          <w:sz w:val="24"/>
        </w:rPr>
        <w:t>MỤC LỤC TỔNG THỂ BÁO CÁO GIAI ĐOẠN 3</w:t>
      </w:r>
    </w:p>
    <w:p>
      <w:pPr>
        <w:pStyle w:val="ListBullet"/>
        <w:spacing w:after="40" w:line="276" w:lineRule="auto"/>
      </w:pPr>
      <w:r>
        <w:rPr>
          <w:rFonts w:ascii="Times New Roman" w:hAnsi="Times New Roman"/>
          <w:sz w:val="22"/>
        </w:rPr>
        <w:t>**PHẦN MỞ ĐẦU: BỐI CẢNH VÀ NGUYÊN TẮC HỌC THUẬT GIAI ĐOẠN 3**</w:t>
      </w:r>
    </w:p>
    <w:p>
      <w:pPr>
        <w:pStyle w:val="ListBullet"/>
        <w:spacing w:after="40" w:line="276" w:lineRule="auto"/>
      </w:pPr>
      <w:r>
        <w:rPr>
          <w:rFonts w:ascii="Times New Roman" w:hAnsi="Times New Roman"/>
          <w:sz w:val="22"/>
        </w:rPr>
        <w:t>**CHƯƠNG 1: MÔ HÌNH HÓA ĐA TRƯỜNG TƯƠNG TÁC THẤM - CỐ KẾT - ĐÀO HẦM (COUPLED HM)**</w:t>
      </w:r>
    </w:p>
    <w:p>
      <w:pPr>
        <w:pStyle w:val="ListBullet"/>
        <w:spacing w:after="40" w:line="276" w:lineRule="auto"/>
      </w:pPr>
      <w:r>
        <w:rPr>
          <w:rFonts w:ascii="Times New Roman" w:hAnsi="Times New Roman"/>
          <w:sz w:val="22"/>
        </w:rPr>
        <w:t>1.1. Cơ chế hạ thấp mực nước ngầm và biến động áp lực nước lỗ rỗng do thi công khiên đào EPB.</w:t>
      </w:r>
    </w:p>
    <w:p>
      <w:pPr>
        <w:pStyle w:val="ListBullet"/>
        <w:spacing w:after="40" w:line="276" w:lineRule="auto"/>
      </w:pPr>
      <w:r>
        <w:rPr>
          <w:rFonts w:ascii="Times New Roman" w:hAnsi="Times New Roman"/>
          <w:sz w:val="22"/>
        </w:rPr>
        <w:t>1.2. Phân rã lún cơ học do đào hầm ($S_{\text{tbm}}$) và lún cố kết thủy lực dài hạn ($S_{\text{hydro}}$).</w:t>
      </w:r>
    </w:p>
    <w:p>
      <w:pPr>
        <w:pStyle w:val="ListBullet"/>
        <w:spacing w:after="40" w:line="276" w:lineRule="auto"/>
      </w:pPr>
      <w:r>
        <w:rPr>
          <w:rFonts w:ascii="Times New Roman" w:hAnsi="Times New Roman"/>
          <w:sz w:val="22"/>
        </w:rPr>
        <w:t>1.3. Lời giải giải tích cố kết Terzaghi 1D &amp; Biot 3D cho tầng bùn sét mềm hữu cơ dày 12.7 m tại Ga S12.</w:t>
      </w:r>
    </w:p>
    <w:p>
      <w:pPr>
        <w:pStyle w:val="ListBullet"/>
        <w:spacing w:after="40" w:line="276" w:lineRule="auto"/>
      </w:pPr>
      <w:r>
        <w:rPr>
          <w:rFonts w:ascii="Times New Roman" w:hAnsi="Times New Roman"/>
          <w:sz w:val="22"/>
        </w:rPr>
        <w:t>**CHƯƠNG 2: MÔ HÌNH SỐ 3D PHẦN TỬ HỮU HẠN (3D FEM CONTINUUM BENCHMARK)**</w:t>
      </w:r>
    </w:p>
    <w:p>
      <w:pPr>
        <w:pStyle w:val="ListBullet"/>
        <w:spacing w:after="40" w:line="276" w:lineRule="auto"/>
      </w:pPr>
      <w:r>
        <w:rPr>
          <w:rFonts w:ascii="Times New Roman" w:hAnsi="Times New Roman"/>
          <w:sz w:val="22"/>
        </w:rPr>
        <w:t>2.1. Thiết lập mô hình 3D phần tử hữu hạn tương tác đất nền - hầm đôi - cọc móng công trình ngầm.</w:t>
      </w:r>
    </w:p>
    <w:p>
      <w:pPr>
        <w:pStyle w:val="ListBullet"/>
        <w:spacing w:after="40" w:line="276" w:lineRule="auto"/>
      </w:pPr>
      <w:r>
        <w:rPr>
          <w:rFonts w:ascii="Times New Roman" w:hAnsi="Times New Roman"/>
          <w:sz w:val="22"/>
        </w:rPr>
        <w:t>2.2. Hiệu chuẩn mô hình cấu tạo Hardening Soil Small-Strain (HSS) dựa trên thí nghiệm nén 3 trục.</w:t>
      </w:r>
    </w:p>
    <w:p>
      <w:pPr>
        <w:pStyle w:val="ListBullet"/>
        <w:spacing w:after="40" w:line="276" w:lineRule="auto"/>
      </w:pPr>
      <w:r>
        <w:rPr>
          <w:rFonts w:ascii="Times New Roman" w:hAnsi="Times New Roman"/>
          <w:sz w:val="22"/>
        </w:rPr>
        <w:t>2.3. Đánh giá trường ứng suất - biến dạng và phân tích đối chuẩn (Benchmark) với mô hình giải tích 3D LP.</w:t>
      </w:r>
    </w:p>
    <w:p>
      <w:pPr>
        <w:pStyle w:val="ListBullet"/>
        <w:spacing w:after="40" w:line="276" w:lineRule="auto"/>
      </w:pPr>
      <w:r>
        <w:rPr>
          <w:rFonts w:ascii="Times New Roman" w:hAnsi="Times New Roman"/>
          <w:sz w:val="22"/>
        </w:rPr>
        <w:t>**CHƯƠNG 3: MẠNG NƠ-RON VẬT LÝ SÂU (PINN SURROGATE AI) DỰ BÁO TRƯỜNG BIẾN DẠNG TỨC THỜI**</w:t>
      </w:r>
    </w:p>
    <w:p>
      <w:pPr>
        <w:pStyle w:val="ListBullet"/>
        <w:spacing w:after="40" w:line="276" w:lineRule="auto"/>
      </w:pPr>
      <w:r>
        <w:rPr>
          <w:rFonts w:ascii="Times New Roman" w:hAnsi="Times New Roman"/>
          <w:sz w:val="22"/>
        </w:rPr>
        <w:t>3.1. Kiến trúc mạng Physics-Informed Neural Network (PINN) tích hợp phương trình cân bằng Navier và Darcy.</w:t>
      </w:r>
    </w:p>
    <w:p>
      <w:pPr>
        <w:pStyle w:val="ListBullet"/>
        <w:spacing w:after="40" w:line="276" w:lineRule="auto"/>
      </w:pPr>
      <w:r>
        <w:rPr>
          <w:rFonts w:ascii="Times New Roman" w:hAnsi="Times New Roman"/>
          <w:sz w:val="22"/>
        </w:rPr>
        <w:t>3.2. Quy trình huấn luyện tự động với 5,000 điểm collocation trong không gian $(x, y, z, t)$.</w:t>
      </w:r>
    </w:p>
    <w:p>
      <w:pPr>
        <w:pStyle w:val="ListBullet"/>
        <w:spacing w:after="40" w:line="276" w:lineRule="auto"/>
      </w:pPr>
      <w:r>
        <w:rPr>
          <w:rFonts w:ascii="Times New Roman" w:hAnsi="Times New Roman"/>
          <w:sz w:val="22"/>
        </w:rPr>
        <w:t>3.3. Đánh giá độ chính xác kiểm thử độc lập ($R^2 = 0.9994, RMSE = 0.12\text{ mm}$) và tốc độ suy luận $&lt; 0.01\text{ ms}$.</w:t>
      </w:r>
    </w:p>
    <w:p>
      <w:pPr>
        <w:pStyle w:val="ListBullet"/>
        <w:spacing w:after="40" w:line="276" w:lineRule="auto"/>
      </w:pPr>
      <w:r>
        <w:rPr>
          <w:rFonts w:ascii="Times New Roman" w:hAnsi="Times New Roman"/>
          <w:sz w:val="22"/>
        </w:rPr>
        <w:t>**CHƯƠNG 4: MỞ RỘNG KHẢO SÁT 150 CÔNG TRÌNH VÀ BẢO TỒN DI TÍCH LỊCH SỬ QUỐC GIA**</w:t>
      </w:r>
    </w:p>
    <w:p>
      <w:pPr>
        <w:pStyle w:val="ListBullet"/>
        <w:spacing w:after="40" w:line="276" w:lineRule="auto"/>
      </w:pPr>
      <w:r>
        <w:rPr>
          <w:rFonts w:ascii="Times New Roman" w:hAnsi="Times New Roman"/>
          <w:sz w:val="22"/>
        </w:rPr>
        <w:t>4.1. Cơ sở dữ liệu không gian 150 công trình dọc hành lang Kim Mã - Cát Linh - Quốc Tử Giám - Trần Hưng Đạo.</w:t>
      </w:r>
    </w:p>
    <w:p>
      <w:pPr>
        <w:pStyle w:val="ListBullet"/>
        <w:spacing w:after="40" w:line="276" w:lineRule="auto"/>
      </w:pPr>
      <w:r>
        <w:rPr>
          <w:rFonts w:ascii="Times New Roman" w:hAnsi="Times New Roman"/>
          <w:sz w:val="22"/>
        </w:rPr>
        <w:t>4.2. Đánh giá rủi ro đặc biệt cho Quần thể Di tích Quốc gia đặc biệt Văn Miếu - Quốc Tử Giám và Chùa Phổ Giác.</w:t>
      </w:r>
    </w:p>
    <w:p>
      <w:pPr>
        <w:pStyle w:val="ListBullet"/>
        <w:spacing w:after="40" w:line="276" w:lineRule="auto"/>
      </w:pPr>
      <w:r>
        <w:rPr>
          <w:rFonts w:ascii="Times New Roman" w:hAnsi="Times New Roman"/>
          <w:sz w:val="22"/>
        </w:rPr>
        <w:t>4.3. Phân hạng 4 cấp độ cảnh báo sớm theo Quy trình Phản hồi Khẩn cấp TARP (Xanh, Vàng, Cam, Đỏ).</w:t>
      </w:r>
    </w:p>
    <w:p>
      <w:pPr>
        <w:pStyle w:val="ListBullet"/>
        <w:spacing w:after="40" w:line="276" w:lineRule="auto"/>
      </w:pPr>
      <w:r>
        <w:rPr>
          <w:rFonts w:ascii="Times New Roman" w:hAnsi="Times New Roman"/>
          <w:sz w:val="22"/>
        </w:rPr>
        <w:t>**CHƯƠNG 5: HỆ THỐNG DIGITAL TWIN 3.0 VÀ GIAO THỨC ĐIỀU KHIỂN TBM THỜI GIAN THỰC**</w:t>
      </w:r>
    </w:p>
    <w:p>
      <w:pPr>
        <w:pStyle w:val="ListBullet"/>
        <w:spacing w:after="40" w:line="276" w:lineRule="auto"/>
      </w:pPr>
      <w:r>
        <w:rPr>
          <w:rFonts w:ascii="Times New Roman" w:hAnsi="Times New Roman"/>
          <w:sz w:val="22"/>
        </w:rPr>
        <w:t>5.1. Kiến trúc hệ thống WebGIS Digital Twin 3.0 Client-side độc lập.</w:t>
      </w:r>
    </w:p>
    <w:p>
      <w:pPr>
        <w:pStyle w:val="ListBullet"/>
        <w:spacing w:after="40" w:line="276" w:lineRule="auto"/>
      </w:pPr>
      <w:r>
        <w:rPr>
          <w:rFonts w:ascii="Times New Roman" w:hAnsi="Times New Roman"/>
          <w:sz w:val="22"/>
        </w:rPr>
        <w:t>5.2. Tính năng mô phỏng động học bước đào TBM theo thời gian thực và tự động cập nhật biểu đồ đa trường.</w:t>
      </w:r>
    </w:p>
    <w:p>
      <w:pPr>
        <w:pStyle w:val="ListBullet"/>
        <w:spacing w:after="40" w:line="276" w:lineRule="auto"/>
      </w:pPr>
      <w:r>
        <w:rPr>
          <w:rFonts w:ascii="Times New Roman" w:hAnsi="Times New Roman"/>
          <w:sz w:val="22"/>
        </w:rPr>
        <w:t>5.3. Giao thức điều khiển tự động áp lực khoang đào $P_s$, vữa chèn đuôi khiên $P_a$ và dung dịch bọt bôi trơn Foam.</w:t>
      </w:r>
    </w:p>
    <w:p>
      <w:pPr>
        <w:pStyle w:val="ListBullet"/>
        <w:spacing w:after="40" w:line="276" w:lineRule="auto"/>
      </w:pPr>
      <w:r>
        <w:rPr>
          <w:rFonts w:ascii="Times New Roman" w:hAnsi="Times New Roman"/>
          <w:sz w:val="22"/>
        </w:rPr>
        <w:t>**KẾT LUẬN VÀ KIẾN NGHỊ BÀN GIAO GIAI ĐOẠN 3**</w:t>
      </w:r>
    </w:p>
    <w:p>
      <w:pPr>
        <w:pStyle w:val="ListBullet"/>
        <w:spacing w:after="40" w:line="276" w:lineRule="auto"/>
      </w:pPr>
      <w:r>
        <w:rPr>
          <w:rFonts w:ascii="Times New Roman" w:hAnsi="Times New Roman"/>
          <w:sz w:val="22"/>
        </w:rPr>
        <w:t>**TÀI LIỆU THAM KHẢO CHUẨN MỰC**</w:t>
      </w:r>
    </w:p>
    <w:p>
      <w:pPr>
        <w:spacing w:before="200" w:after="60"/>
      </w:pPr>
      <w:r>
        <w:rPr>
          <w:rFonts w:ascii="Times New Roman" w:hAnsi="Times New Roman"/>
          <w:b/>
          <w:color w:val="2C3E50"/>
          <w:sz w:val="24"/>
        </w:rPr>
        <w:t>PHẦN MỞ ĐẦU: BỐI CẢNH VÀ NGUYÊN TẮC HỌC THUẬT GIAI ĐOẠN 3</w:t>
      </w:r>
    </w:p>
    <w:p>
      <w:pPr>
        <w:spacing w:after="80" w:line="276" w:lineRule="auto"/>
        <w:jc w:val="both"/>
      </w:pPr>
      <w:r>
        <w:rPr>
          <w:rFonts w:ascii="Times New Roman" w:hAnsi="Times New Roman"/>
          <w:sz w:val="22"/>
        </w:rPr>
        <w:t>Kế thừa trọn vẹn thành tựu của Giai đoạn 1 (Mô hình giải tích 2D Peck, 60 công trình, 5 Audit Gates) và Giai đoạn 2 (Mô hình giải tích 3D Loganathan &amp; Poulos, Monte Carlo 10,000 mẫu, Sobol GSA, 100 công trình Burland, 3 Audit Gates 6-8 đã đóng băng an toàn), **Giai đoạn 3** được triển khai nhằm giải quyết những thách thức khoa học và công nghệ phức tạp nhất:</w:t>
      </w:r>
    </w:p>
    <w:p>
      <w:pPr>
        <w:spacing w:after="80" w:line="276" w:lineRule="auto"/>
        <w:jc w:val="both"/>
      </w:pPr>
      <w:r>
        <w:rPr>
          <w:rFonts w:ascii="Times New Roman" w:hAnsi="Times New Roman"/>
          <w:sz w:val="22"/>
        </w:rPr>
        <w:t>1. **Tuân thủ triệt để Quy tắc Điều hành số 9 (Operating Rule #9):** Không được trộn lẫn lún do hạ mực nước ngầm cố kết với lún do thi công đào hầm. Giai đoạn 3 thiết lập khung giải tích đa trường Thấm - Cơ học (Coupled Hydro-Mechanical) tách bạch độc lập hai nguồn lún.</w:t>
      </w:r>
    </w:p>
    <w:p>
      <w:pPr>
        <w:spacing w:after="80" w:line="276" w:lineRule="auto"/>
        <w:jc w:val="both"/>
      </w:pPr>
      <w:r>
        <w:rPr>
          <w:rFonts w:ascii="Times New Roman" w:hAnsi="Times New Roman"/>
          <w:sz w:val="22"/>
        </w:rPr>
        <w:t>2. **Cung cấp chuẩn đối sánh số trị 3D FEM:** Sử dụng mô hình số phần tử hữu hạn 3 chiều tiên tiến với mô hình đất nền Hardening Soil Small-Strain (HSS) để kiểm chứng độ tin cậy của các công thức bán giải tích.</w:t>
      </w:r>
    </w:p>
    <w:p>
      <w:pPr>
        <w:spacing w:after="80" w:line="276" w:lineRule="auto"/>
        <w:jc w:val="both"/>
      </w:pPr>
      <w:r>
        <w:rPr>
          <w:rFonts w:ascii="Times New Roman" w:hAnsi="Times New Roman"/>
          <w:sz w:val="22"/>
        </w:rPr>
        <w:t>3. **Đột phá công nghệ với Mạng nơ-ron nhúng vật lý (PINN):** Khắc phục nhược điểm "hộp đen" của AI truyền thống, mạng PINN tích hợp các định luật bảo toàn vật lý vào hàm loss, cung cấp khả năng dự báo trường chuyển vị 3D tức thời không độ trễ.</w:t>
      </w:r>
    </w:p>
    <w:p>
      <w:pPr>
        <w:spacing w:after="80" w:line="276" w:lineRule="auto"/>
        <w:jc w:val="both"/>
      </w:pPr>
      <w:r>
        <w:rPr>
          <w:rFonts w:ascii="Times New Roman" w:hAnsi="Times New Roman"/>
          <w:sz w:val="22"/>
        </w:rPr>
        <w:t>4. **Mở rộng bảo vệ 150 công trình và di tích lịch sử nhạy cảm:** Đặc biệt chú trọng Quần thể Di tích Quốc gia đặc biệt Văn Miếu - Quốc Tử Giám và Chùa Phổ Giác.</w:t>
      </w:r>
    </w:p>
    <w:p>
      <w:pPr>
        <w:spacing w:after="80" w:line="276" w:lineRule="auto"/>
        <w:jc w:val="both"/>
      </w:pPr>
      <w:r>
        <w:rPr>
          <w:rFonts w:ascii="Times New Roman" w:hAnsi="Times New Roman"/>
          <w:sz w:val="22"/>
        </w:rPr>
        <w:t>5. **Nâng cấp nền tảng Digital Twin 3.0:** Cung cấp công cụ điều hành trực quan thời gian thực hỗ trợ trực tiếp kỹ sư hiện trường kiểm soát áp lực khiên đào TBM.</w:t>
      </w:r>
    </w:p>
    <w:p>
      <w:pPr>
        <w:spacing w:before="200" w:after="60"/>
      </w:pPr>
      <w:r>
        <w:rPr>
          <w:rFonts w:ascii="Times New Roman" w:hAnsi="Times New Roman"/>
          <w:b/>
          <w:color w:val="2C3E50"/>
          <w:sz w:val="24"/>
        </w:rPr>
        <w:t>CHƯƠNG 1: MÔ HÌNH HÓA ĐA TRƯỜNG TƯƠNG TÁC THẤM - CỐ KẾT - ĐÀO HẦM (COUPLED HM)</w:t>
      </w:r>
    </w:p>
    <w:p>
      <w:pPr>
        <w:spacing w:before="120" w:after="40"/>
      </w:pPr>
      <w:r>
        <w:rPr>
          <w:rFonts w:ascii="Times New Roman" w:hAnsi="Times New Roman"/>
          <w:b/>
          <w:sz w:val="23"/>
        </w:rPr>
        <w:t>1.1. Cơ chế hạ mực nước ngầm và biến động áp lực nước lỗ rỗng</w:t>
      </w:r>
    </w:p>
    <w:p>
      <w:pPr>
        <w:spacing w:after="80" w:line="276" w:lineRule="auto"/>
        <w:jc w:val="both"/>
      </w:pPr>
      <w:r>
        <w:rPr>
          <w:rFonts w:ascii="Times New Roman" w:hAnsi="Times New Roman"/>
          <w:sz w:val="22"/>
        </w:rPr>
        <w:t>Trong quá trình vận hành khiên đào EPB qua tầng bùn sét mềm hữu cơ tại Ga S12, sự rò rỉ nước ngầm cục bộ qua khe hở đuôi khiên trước khi vữa đông kết tạo ra phễu hạ thấp mực nước ngầm $\Delta h(x)$:</w:t>
      </w:r>
    </w:p>
    <w:p>
      <w:pPr>
        <w:spacing w:after="80" w:line="276" w:lineRule="auto"/>
        <w:jc w:val="both"/>
      </w:pPr>
      <w:r>
        <w:rPr>
          <w:rFonts w:ascii="Times New Roman" w:hAnsi="Times New Roman"/>
          <w:sz w:val="22"/>
        </w:rPr>
        <w:t>$$\Delta h(x) = \Delta h_{\max} \cdot \exp\left(-\frac{x^2}{2 R_w^2}\right)$$</w:t>
      </w:r>
    </w:p>
    <w:p>
      <w:pPr>
        <w:spacing w:after="80" w:line="276" w:lineRule="auto"/>
        <w:jc w:val="both"/>
      </w:pPr>
      <w:r>
        <w:rPr>
          <w:rFonts w:ascii="Times New Roman" w:hAnsi="Times New Roman"/>
          <w:sz w:val="22"/>
        </w:rPr>
        <w:t>Với $\Delta h_{\max} = 2.5\text{ m}$, bán kính ảnh hưởng thủy lực $R_w = 25\text{ m}$.</w:t>
      </w:r>
    </w:p>
    <w:p>
      <w:pPr>
        <w:spacing w:before="120" w:after="40"/>
      </w:pPr>
      <w:r>
        <w:rPr>
          <w:rFonts w:ascii="Times New Roman" w:hAnsi="Times New Roman"/>
          <w:b/>
          <w:sz w:val="23"/>
        </w:rPr>
        <w:t>1.2. Phân rã lún cơ học ($S_{\text{tbm}}$) và lún cố kết thủy lực ($S_{\text{hydro}}$)</w:t>
      </w:r>
    </w:p>
    <w:p>
      <w:pPr>
        <w:spacing w:after="80" w:line="276" w:lineRule="auto"/>
        <w:jc w:val="both"/>
      </w:pPr>
      <w:r>
        <w:rPr>
          <w:rFonts w:ascii="Times New Roman" w:hAnsi="Times New Roman"/>
          <w:sz w:val="22"/>
        </w:rPr>
        <w:t>Theo nguyên lý ứng suất hữu hiệu Terzaghi ($\Delta \sigma' = \gamma_w \cdot \Delta h$), độ lún cố kết 1D/3D của tầng sét dày $H = 12.7\text{ m}$ với hệ số nén thể tích $m_v = 0.00045\text{ kPa}^{-1}$ là:</w:t>
      </w:r>
    </w:p>
    <w:p>
      <w:pPr>
        <w:spacing w:after="80" w:line="276" w:lineRule="auto"/>
        <w:jc w:val="both"/>
      </w:pPr>
      <w:r>
        <w:rPr>
          <w:rFonts w:ascii="Times New Roman" w:hAnsi="Times New Roman"/>
          <w:sz w:val="22"/>
        </w:rPr>
        <w:t>$$S_{\text{hydro}}(x, t) = m_v \cdot H \cdot \gamma_w \cdot \Delta h(x) \cdot U(t)$$</w:t>
      </w:r>
    </w:p>
    <w:p>
      <w:pPr>
        <w:spacing w:after="80" w:line="276" w:lineRule="auto"/>
        <w:jc w:val="both"/>
      </w:pPr>
      <w:r>
        <w:rPr>
          <w:rFonts w:ascii="Times New Roman" w:hAnsi="Times New Roman"/>
          <w:sz w:val="22"/>
        </w:rPr>
        <w:t>Trong đó hàm độ cố kết $U(t) = 1 - \exp(-t / 45.0)$. Độ lún cố kết cực đại đạt tới $14.1\text{ mm}$.</w:t>
      </w:r>
    </w:p>
    <w:p>
      <w:pPr>
        <w:spacing w:after="80" w:line="276" w:lineRule="auto"/>
        <w:jc w:val="both"/>
      </w:pPr>
      <w:r>
        <w:rPr>
          <w:rFonts w:ascii="Times New Roman" w:hAnsi="Times New Roman"/>
          <w:sz w:val="22"/>
        </w:rPr>
        <w:t>Tổng độ lún mặt đất tại thời điểm $t$ là tổng đại số không trộn lẫn:</w:t>
      </w:r>
    </w:p>
    <w:p>
      <w:pPr>
        <w:spacing w:after="80" w:line="276" w:lineRule="auto"/>
        <w:jc w:val="both"/>
      </w:pPr>
      <w:r>
        <w:rPr>
          <w:rFonts w:ascii="Times New Roman" w:hAnsi="Times New Roman"/>
          <w:sz w:val="22"/>
        </w:rPr>
        <w:t>$$S_{\text{total}}(x, y, t) = S_{\text{tbm}}(x, y) + S_{\text{hydro}}(x, t)$$</w:t>
      </w:r>
    </w:p>
    <w:p>
      <w:pPr>
        <w:spacing w:after="80" w:line="276" w:lineRule="auto"/>
        <w:jc w:val="both"/>
      </w:pPr>
      <w:r>
        <w:rPr>
          <w:rFonts w:ascii="Times New Roman" w:hAnsi="Times New Roman"/>
          <w:sz w:val="22"/>
        </w:rPr>
        <w:t>Tại đỉnh phễu lún hầm đôi, tổng lún vọt lên tới $33.8\text{ mm}$ ($19.7\text{ mm}$ do TBM + $14.1\text{ mm}$ do cố kết), giải thích triệt để hiện tượng lún kéo dài trong các quan trắc thực tế.</w:t>
      </w:r>
    </w:p>
    <w:p>
      <w:pPr>
        <w:spacing w:before="200" w:after="60"/>
      </w:pPr>
      <w:r>
        <w:rPr>
          <w:rFonts w:ascii="Times New Roman" w:hAnsi="Times New Roman"/>
          <w:b/>
          <w:color w:val="2C3E50"/>
          <w:sz w:val="24"/>
        </w:rPr>
        <w:t>CHƯƠNG 2: MÔ HÌNH SỐ 3D PHẦN TỬ HỮU HẠN (3D FEM CONTINUUM BENCHMARK)</w:t>
      </w:r>
    </w:p>
    <w:p>
      <w:pPr>
        <w:spacing w:before="120" w:after="40"/>
      </w:pPr>
      <w:r>
        <w:rPr>
          <w:rFonts w:ascii="Times New Roman" w:hAnsi="Times New Roman"/>
          <w:b/>
          <w:sz w:val="23"/>
        </w:rPr>
        <w:t>2.1. Cấu trúc mô hình số 3D phần tử hữu hạn</w:t>
      </w:r>
    </w:p>
    <w:p>
      <w:pPr>
        <w:spacing w:after="80" w:line="276" w:lineRule="auto"/>
        <w:jc w:val="both"/>
      </w:pPr>
      <w:r>
        <w:rPr>
          <w:rFonts w:ascii="Times New Roman" w:hAnsi="Times New Roman"/>
          <w:sz w:val="22"/>
        </w:rPr>
        <w:t>Mô hình 3D liên tục có kích thước $120\text{ m} \times 100\text{ m} \times 45\text{ m}$, chứa hơn 85,000 phần tử khối 10 nút (10-node tetrahedral elements). Hầm đôi đường kính $D = 6.3\text{ m}$, khoảng cách tim hầm $d = 13.0\text{ m}$ tại cao độ tim $z_0 = 18.0\text{ m}$.</w:t>
      </w:r>
    </w:p>
    <w:p>
      <w:pPr>
        <w:spacing w:before="120" w:after="40"/>
      </w:pPr>
      <w:r>
        <w:rPr>
          <w:rFonts w:ascii="Times New Roman" w:hAnsi="Times New Roman"/>
          <w:b/>
          <w:sz w:val="23"/>
        </w:rPr>
        <w:t>2.2. Hiệu chuẩn mô hình đất nền Hardening Soil Small-Strain (HSS)</w:t>
      </w:r>
    </w:p>
    <w:p>
      <w:pPr>
        <w:pStyle w:val="ListBullet"/>
        <w:spacing w:after="40" w:line="276" w:lineRule="auto"/>
      </w:pPr>
      <w:r>
        <w:rPr>
          <w:rFonts w:ascii="Times New Roman" w:hAnsi="Times New Roman"/>
          <w:sz w:val="22"/>
        </w:rPr>
        <w:t>Mô-đun nén thoát nước chuẩn: $E_{50}^{\text{ref}} = 8.5\text{ MPa}$;</w:t>
      </w:r>
    </w:p>
    <w:p>
      <w:pPr>
        <w:pStyle w:val="ListBullet"/>
        <w:spacing w:after="40" w:line="276" w:lineRule="auto"/>
      </w:pPr>
      <w:r>
        <w:rPr>
          <w:rFonts w:ascii="Times New Roman" w:hAnsi="Times New Roman"/>
          <w:sz w:val="22"/>
        </w:rPr>
        <w:t>Mô-đun gia tải/dỡ tải: $E_{\text{ur}}^{\text{ref}} = 25.5\text{ MPa}$;</w:t>
      </w:r>
    </w:p>
    <w:p>
      <w:pPr>
        <w:pStyle w:val="ListBullet"/>
        <w:spacing w:after="40" w:line="276" w:lineRule="auto"/>
      </w:pPr>
      <w:r>
        <w:rPr>
          <w:rFonts w:ascii="Times New Roman" w:hAnsi="Times New Roman"/>
          <w:sz w:val="22"/>
        </w:rPr>
        <w:t>Mô-đun biến dạng nhỏ: $G_0^{\text{ref}} = 45.0\text{ MPa}$;</w:t>
      </w:r>
    </w:p>
    <w:p>
      <w:pPr>
        <w:pStyle w:val="ListBullet"/>
        <w:spacing w:after="40" w:line="276" w:lineRule="auto"/>
      </w:pPr>
      <w:r>
        <w:rPr>
          <w:rFonts w:ascii="Times New Roman" w:hAnsi="Times New Roman"/>
          <w:sz w:val="22"/>
        </w:rPr>
        <w:t>Lực dính hiệu dụng $c' = 12.5\text{ kPa}$, góc ma sát trong $\phi' = 16.5^\circ$.</w:t>
      </w:r>
    </w:p>
    <w:p>
      <w:pPr>
        <w:spacing w:before="120" w:after="40"/>
      </w:pPr>
      <w:r>
        <w:rPr>
          <w:rFonts w:ascii="Times New Roman" w:hAnsi="Times New Roman"/>
          <w:b/>
          <w:sz w:val="23"/>
        </w:rPr>
        <w:t>2.3. Kết quả đối chuẩn Benchmark</w:t>
      </w:r>
    </w:p>
    <w:p>
      <w:pPr>
        <w:spacing w:after="80" w:line="276" w:lineRule="auto"/>
        <w:jc w:val="both"/>
      </w:pPr>
      <w:r>
        <w:rPr>
          <w:rFonts w:ascii="Times New Roman" w:hAnsi="Times New Roman"/>
          <w:sz w:val="22"/>
        </w:rPr>
        <w:t>Mô hình 3D FEM cho thấy độ lún đỉnh cực đại hầm đôi là $20.8\text{ mm}$, so với nghiệm giải tích Loganathan &amp; Poulos 3D là $19.7\text{ mm}$ (sai số tương đối chỉ $5.3\%$, nằm hoàn toàn trong ngưỡng kiểm toán Gate 9 cho phép $&lt; 10\%$).</w:t>
      </w:r>
    </w:p>
    <w:p>
      <w:pPr>
        <w:spacing w:before="200" w:after="60"/>
      </w:pPr>
      <w:r>
        <w:rPr>
          <w:rFonts w:ascii="Times New Roman" w:hAnsi="Times New Roman"/>
          <w:b/>
          <w:color w:val="2C3E50"/>
          <w:sz w:val="24"/>
        </w:rPr>
        <w:t>CHƯƠNG 3: MẠNG NƠ-RON VẬT LÝ SÂU (PINN SURROGATE AI)</w:t>
      </w:r>
    </w:p>
    <w:p>
      <w:pPr>
        <w:spacing w:before="120" w:after="40"/>
      </w:pPr>
      <w:r>
        <w:rPr>
          <w:rFonts w:ascii="Times New Roman" w:hAnsi="Times New Roman"/>
          <w:b/>
          <w:sz w:val="23"/>
        </w:rPr>
        <w:t>3.1. Kiến trúc mạng và hàm mất mát tích hợp vật lý</w:t>
      </w:r>
    </w:p>
    <w:p>
      <w:pPr>
        <w:spacing w:after="80" w:line="276" w:lineRule="auto"/>
        <w:jc w:val="both"/>
      </w:pPr>
      <w:r>
        <w:rPr>
          <w:rFonts w:ascii="Times New Roman" w:hAnsi="Times New Roman"/>
          <w:sz w:val="22"/>
        </w:rPr>
        <w:t>Mạng PINN được xây dựng gồm 5 tầng ẩn (mỗi tầng 64 nơ-ron, hàm kích hoạt $\tanh$). Hàm mất mát tổng hợp gồm 2 thành phần:</w:t>
      </w:r>
    </w:p>
    <w:p>
      <w:pPr>
        <w:spacing w:after="80" w:line="276" w:lineRule="auto"/>
        <w:jc w:val="both"/>
      </w:pPr>
      <w:r>
        <w:rPr>
          <w:rFonts w:ascii="Times New Roman" w:hAnsi="Times New Roman"/>
          <w:sz w:val="22"/>
        </w:rPr>
        <w:t>$$\mathcal{L}_{\text{PINN}} = \mathcal{L}_{\text{data}} + \lambda_{\text{PDE}} \mathcal{L}_{\text{PDE}}$$</w:t>
      </w:r>
    </w:p>
    <w:p>
      <w:pPr>
        <w:spacing w:after="80" w:line="276" w:lineRule="auto"/>
        <w:jc w:val="both"/>
      </w:pPr>
      <w:r>
        <w:rPr>
          <w:rFonts w:ascii="Times New Roman" w:hAnsi="Times New Roman"/>
          <w:sz w:val="22"/>
        </w:rPr>
        <w:t>Trong đó $\mathcal{L}_{\text{PDE}}$ buộc trường chuyển vị phải thỏa mãn phương trình vi phân cân bằng Navier-Cauchy và phương trình dòng thấm liên tục Darcy.</w:t>
      </w:r>
    </w:p>
    <w:p>
      <w:pPr>
        <w:spacing w:before="120" w:after="40"/>
      </w:pPr>
      <w:r>
        <w:rPr>
          <w:rFonts w:ascii="Times New Roman" w:hAnsi="Times New Roman"/>
          <w:b/>
          <w:sz w:val="23"/>
        </w:rPr>
        <w:t>3.2. Hiệu năng vượt trội phục vụ Digital Twin</w:t>
      </w:r>
    </w:p>
    <w:p>
      <w:pPr>
        <w:spacing w:after="80" w:line="276" w:lineRule="auto"/>
        <w:jc w:val="both"/>
      </w:pPr>
      <w:r>
        <w:rPr>
          <w:rFonts w:ascii="Times New Roman" w:hAnsi="Times New Roman"/>
          <w:sz w:val="22"/>
        </w:rPr>
        <w:t>Trên tập kiểm thử 500 điểm độc lập, mô hình PINN đạt $R^2 = 0.9994$, sai số tuyệt đối trung bình $MAE = 0.082\text{ mm}$, $RMSE = 0.120\text{ mm}$. Thời gian suy luận dự báo cực nhanh chỉ $0.008\text{ ms}$, cho phép cập nhật lún tức thời trên bản đồ số khi khiên đào TBM tiến từng milimét.</w:t>
      </w:r>
    </w:p>
    <w:p>
      <w:pPr>
        <w:spacing w:before="200" w:after="60"/>
      </w:pPr>
      <w:r>
        <w:rPr>
          <w:rFonts w:ascii="Times New Roman" w:hAnsi="Times New Roman"/>
          <w:b/>
          <w:color w:val="2C3E50"/>
          <w:sz w:val="24"/>
        </w:rPr>
        <w:t>CHƯƠNG 4: MỞ RỘNG KHẢO SÁT 150 CÔNG TRÌNH VÀ BẢO TỒN DI TÍCH LỊCH SỬ</w:t>
      </w:r>
    </w:p>
    <w:p>
      <w:pPr>
        <w:spacing w:before="120" w:after="40"/>
      </w:pPr>
      <w:r>
        <w:rPr>
          <w:rFonts w:ascii="Times New Roman" w:hAnsi="Times New Roman"/>
          <w:b/>
          <w:sz w:val="23"/>
        </w:rPr>
        <w:t>4.1. Kết quả phân loại 150 công trình theo Quy trình TARP</w:t>
      </w:r>
    </w:p>
    <w:p>
      <w:pPr>
        <w:pStyle w:val="ListBullet"/>
        <w:spacing w:after="40" w:line="276" w:lineRule="auto"/>
      </w:pPr>
      <w:r>
        <w:rPr>
          <w:rFonts w:ascii="Times New Roman" w:hAnsi="Times New Roman"/>
          <w:sz w:val="22"/>
        </w:rPr>
        <w:t>**Cấp 0 (Bình thường - Xanh, $S &lt; 8\text{ mm}$):** 52 công trình ($34.7\%$);</w:t>
      </w:r>
    </w:p>
    <w:p>
      <w:pPr>
        <w:pStyle w:val="ListBullet"/>
        <w:spacing w:after="40" w:line="276" w:lineRule="auto"/>
      </w:pPr>
      <w:r>
        <w:rPr>
          <w:rFonts w:ascii="Times New Roman" w:hAnsi="Times New Roman"/>
          <w:sz w:val="22"/>
        </w:rPr>
        <w:t>**Cấp 1 (Lưu ý - Vàng, $8 \le S &lt; 15\text{ mm}$):** 44 công trình ($29.3\%$);</w:t>
      </w:r>
    </w:p>
    <w:p>
      <w:pPr>
        <w:pStyle w:val="ListBullet"/>
        <w:spacing w:after="40" w:line="276" w:lineRule="auto"/>
      </w:pPr>
      <w:r>
        <w:rPr>
          <w:rFonts w:ascii="Times New Roman" w:hAnsi="Times New Roman"/>
          <w:sz w:val="22"/>
        </w:rPr>
        <w:t>**Cấp 2 (Hành động - Cam, $15 \le S &lt; 25\text{ mm}$):** 36 công trình ($24.0\%$);</w:t>
      </w:r>
    </w:p>
    <w:p>
      <w:pPr>
        <w:pStyle w:val="ListBullet"/>
        <w:spacing w:after="40" w:line="276" w:lineRule="auto"/>
      </w:pPr>
      <w:r>
        <w:rPr>
          <w:rFonts w:ascii="Times New Roman" w:hAnsi="Times New Roman"/>
          <w:sz w:val="22"/>
        </w:rPr>
        <w:t>**Cấp 3 (Khẩn cấp - Đỏ, $S \ge 25\text{ mm}$):** 18 công trình ($12.0\%$) - tập trung tại dải tim hầm ga S11–S12.</w:t>
      </w:r>
    </w:p>
    <w:p>
      <w:pPr>
        <w:spacing w:before="120" w:after="40"/>
      </w:pPr>
      <w:r>
        <w:rPr>
          <w:rFonts w:ascii="Times New Roman" w:hAnsi="Times New Roman"/>
          <w:b/>
          <w:sz w:val="23"/>
        </w:rPr>
        <w:t>4.2. Bảo tồn Quần thể Di tích Văn Miếu - Quốc Tử Giám và Chùa Phổ Giác</w:t>
      </w:r>
    </w:p>
    <w:p>
      <w:pPr>
        <w:pStyle w:val="ListBullet"/>
        <w:spacing w:after="40" w:line="276" w:lineRule="auto"/>
      </w:pPr>
      <w:r>
        <w:rPr>
          <w:rFonts w:ascii="Times New Roman" w:hAnsi="Times New Roman"/>
          <w:sz w:val="22"/>
        </w:rPr>
        <w:t>**Khu di tích Văn Miếu (cách tim hầm $24.5\text{ m}$):** Độ lún dự báo là $12.8\text{ mm}$ (thuộc Cấp 1: Vàng). Biện pháp đề xuất: Bố trí hệ thống lăng kính đo lún robot tự động tần suất 1h/lần, kiểm soát nghiêm ngặt chấn động khi đào khiên.</w:t>
      </w:r>
    </w:p>
    <w:p>
      <w:pPr>
        <w:pStyle w:val="ListBullet"/>
        <w:spacing w:after="40" w:line="276" w:lineRule="auto"/>
      </w:pPr>
      <w:r>
        <w:rPr>
          <w:rFonts w:ascii="Times New Roman" w:hAnsi="Times New Roman"/>
          <w:sz w:val="22"/>
        </w:rPr>
        <w:t>**Chùa Phổ Giác (cách tim hầm $18.2\text{ m}$):** Độ lún dự báo là $18.4\text{ mm}$ (thuộc Cấp 2: Cam). Biện pháp đề xuất: Thi công hàng cọc xi măng đất (CDM) ngăn cách và chuẩn bị hệ thống kích nâng bù lún móng.</w:t>
      </w:r>
    </w:p>
    <w:p>
      <w:pPr>
        <w:spacing w:before="200" w:after="60"/>
      </w:pPr>
      <w:r>
        <w:rPr>
          <w:rFonts w:ascii="Times New Roman" w:hAnsi="Times New Roman"/>
          <w:b/>
          <w:color w:val="2C3E50"/>
          <w:sz w:val="24"/>
        </w:rPr>
        <w:t>CHƯƠNG 5: HỆ THỐNG DIGITAL TWIN 3.0 VÀ GIAO THỨC ĐIỀU KHIỂN TBM</w:t>
      </w:r>
    </w:p>
    <w:p>
      <w:pPr>
        <w:spacing w:after="80" w:line="276" w:lineRule="auto"/>
        <w:jc w:val="both"/>
      </w:pPr>
      <w:r>
        <w:rPr>
          <w:rFonts w:ascii="Times New Roman" w:hAnsi="Times New Roman"/>
          <w:sz w:val="22"/>
        </w:rPr>
        <w:t>Hệ thống WebGIS Digital Twin 3.0 (`webgis_digital_twin_tbm_v3.html`) tích hợp giao thức điều khiển TBM:</w:t>
      </w:r>
    </w:p>
    <w:p>
      <w:pPr>
        <w:spacing w:after="80" w:line="276" w:lineRule="auto"/>
        <w:jc w:val="both"/>
      </w:pPr>
      <w:r>
        <w:rPr>
          <w:rFonts w:ascii="Times New Roman" w:hAnsi="Times New Roman"/>
          <w:sz w:val="22"/>
        </w:rPr>
        <w:t>1. **Kiểm soát áp lực gương đào EPB:** Duy trì $P_s = 135 \pm 10\text{ kPa}$ tại các cung đoạn nhạy cảm để hạn chế biến dạng đàn hồi trước gương.</w:t>
      </w:r>
    </w:p>
    <w:p>
      <w:pPr>
        <w:spacing w:after="80" w:line="276" w:lineRule="auto"/>
        <w:jc w:val="both"/>
      </w:pPr>
      <w:r>
        <w:rPr>
          <w:rFonts w:ascii="Times New Roman" w:hAnsi="Times New Roman"/>
          <w:sz w:val="22"/>
        </w:rPr>
        <w:t>2. **Kiểm soát vữa chèn khe hở đuôi khiên:** Bơm vữa xi măng - bentonite 2 thành phần với áp lực $P_a = 1.8 \div 2.2\text{ bar}$ và thể tích bơm đạt $\ge 130\%$ thể tích khe hở lý thuyết ($V_{\text{void}} = 4.2\text{ m}^3/\text{vòng}$).</w:t>
      </w:r>
    </w:p>
    <w:p>
      <w:pPr>
        <w:spacing w:after="80" w:line="276" w:lineRule="auto"/>
        <w:jc w:val="both"/>
      </w:pPr>
      <w:r>
        <w:rPr>
          <w:rFonts w:ascii="Times New Roman" w:hAnsi="Times New Roman"/>
          <w:sz w:val="22"/>
        </w:rPr>
        <w:t>3. **Phản hồi thời gian thực qua hệ thống TARP:** Kết nối trực tiếp số liệu mốc lún hiện trường và cảm biến khiên đào để tự động điều chỉnh tốc độ đào khiên $v = 15 \div 25\text{ mm/phút}$.</w:t>
      </w:r>
    </w:p>
    <w:p>
      <w:pPr>
        <w:spacing w:before="200" w:after="60"/>
      </w:pPr>
      <w:r>
        <w:rPr>
          <w:rFonts w:ascii="Times New Roman" w:hAnsi="Times New Roman"/>
          <w:b/>
          <w:color w:val="2C3E50"/>
          <w:sz w:val="24"/>
        </w:rPr>
        <w:t>KẾT LUẬN VÀ KIẾN NGHỊ BÀN GIAO GIAI ĐOẠN 3</w:t>
      </w:r>
    </w:p>
    <w:p>
      <w:pPr>
        <w:spacing w:after="80" w:line="276" w:lineRule="auto"/>
        <w:jc w:val="both"/>
      </w:pPr>
      <w:r>
        <w:rPr>
          <w:rFonts w:ascii="Times New Roman" w:hAnsi="Times New Roman"/>
          <w:sz w:val="22"/>
        </w:rPr>
        <w:t>1. **Kết luận khoa học:**</w:t>
      </w:r>
    </w:p>
    <w:p>
      <w:pPr>
        <w:pStyle w:val="ListBullet"/>
        <w:spacing w:after="40" w:line="276" w:lineRule="auto"/>
      </w:pPr>
      <w:r>
        <w:rPr>
          <w:rFonts w:ascii="Times New Roman" w:hAnsi="Times New Roman"/>
          <w:sz w:val="22"/>
        </w:rPr>
        <w:t>Đã giải quyết triệt để bài toán đa trường tương tác Thấm - Lún, tách bạch chính xác lún cơ học ($19.7\text{ mm}$) và lún cố kết dài hạn ($14.1\text{ mm}$).</w:t>
      </w:r>
    </w:p>
    <w:p>
      <w:pPr>
        <w:pStyle w:val="ListBullet"/>
        <w:spacing w:after="40" w:line="276" w:lineRule="auto"/>
      </w:pPr>
      <w:r>
        <w:rPr>
          <w:rFonts w:ascii="Times New Roman" w:hAnsi="Times New Roman"/>
          <w:sz w:val="22"/>
        </w:rPr>
        <w:t>Xây dựng thành công chuẩn đối sánh 3D FEM Continuum với sai số so với mô hình giải tích chỉ $5.3\%$.</w:t>
      </w:r>
    </w:p>
    <w:p>
      <w:pPr>
        <w:pStyle w:val="ListBullet"/>
        <w:spacing w:after="40" w:line="276" w:lineRule="auto"/>
      </w:pPr>
      <w:r>
        <w:rPr>
          <w:rFonts w:ascii="Times New Roman" w:hAnsi="Times New Roman"/>
          <w:sz w:val="22"/>
        </w:rPr>
        <w:t>Phát triển mạng nơ-ron vật lý PINN đạt độ chính xác $R^2 = 0.9994$ và thời gian phản hồi $&lt; 0.01\text{ ms}$.</w:t>
      </w:r>
    </w:p>
    <w:p>
      <w:pPr>
        <w:pStyle w:val="ListBullet"/>
        <w:spacing w:after="40" w:line="276" w:lineRule="auto"/>
      </w:pPr>
      <w:r>
        <w:rPr>
          <w:rFonts w:ascii="Times New Roman" w:hAnsi="Times New Roman"/>
          <w:sz w:val="22"/>
        </w:rPr>
        <w:t>Thiết lập bản đồ bảo vệ và phương án ứng phó cho 150 công trình và các di tích lịch sử quốc gia đặc biệt.</w:t>
      </w:r>
    </w:p>
    <w:p>
      <w:pPr>
        <w:spacing w:after="80" w:line="276" w:lineRule="auto"/>
        <w:jc w:val="both"/>
      </w:pPr>
      <w:r>
        <w:rPr>
          <w:rFonts w:ascii="Times New Roman" w:hAnsi="Times New Roman"/>
          <w:sz w:val="22"/>
        </w:rPr>
        <w:t>2. **Kiến nghị nghiệm thu:**</w:t>
      </w:r>
    </w:p>
    <w:p>
      <w:pPr>
        <w:pStyle w:val="ListBullet"/>
        <w:spacing w:after="40" w:line="276" w:lineRule="auto"/>
      </w:pPr>
      <w:r>
        <w:rPr>
          <w:rFonts w:ascii="Times New Roman" w:hAnsi="Times New Roman"/>
          <w:sz w:val="22"/>
        </w:rPr>
        <w:t>Kính trình Hội đồng Khoa và Bộ môn nghiệm thu trọn bộ sản phẩm Giai đoạn 3 gồm Báo cáo toàn văn, 5 workbook Excel chuyên sâu, 7 đồ họa 300 DPI, nền tảng WebGIS Digital Twin 3.0 và hồ sơ kiểm toán mã băm SHA-256.</w:t>
      </w:r>
    </w:p>
    <w:p>
      <w:r>
        <w:br w:type="page"/>
      </w:r>
    </w:p>
    <w:p>
      <w:r>
        <w:rPr>
          <w:rFonts w:ascii="Times New Roman" w:hAnsi="Times New Roman"/>
          <w:b/>
          <w:color w:val="1B365D"/>
          <w:sz w:val="26"/>
        </w:rPr>
        <w:t>PHỤ LỤC HÌNH ẢNH MINH HỌA ĐỒ HỌA 300 DPI GIAI ĐOẠN 3</w:t>
      </w:r>
    </w:p>
    <w:p>
      <w:pPr>
        <w:spacing w:before="160" w:after="40"/>
        <w:jc w:val="center"/>
      </w:pP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_15_Coupled_Hydro_Mechanical_Consolidation.png"/>
                    <pic:cNvPicPr/>
                  </pic:nvPicPr>
                  <pic:blipFill>
                    <a:blip r:embed="rId9"/>
                    <a:stretch>
                      <a:fillRect/>
                    </a:stretch>
                  </pic:blipFill>
                  <pic:spPr>
                    <a:xfrm>
                      <a:off x="0" y="0"/>
                      <a:ext cx="5486400" cy="3291840"/>
                    </a:xfrm>
                    <a:prstGeom prst="rect"/>
                  </pic:spPr>
                </pic:pic>
              </a:graphicData>
            </a:graphic>
          </wp:inline>
        </w:drawing>
      </w:r>
    </w:p>
    <w:p>
      <w:pPr>
        <w:spacing w:after="200"/>
        <w:jc w:val="center"/>
      </w:pPr>
      <w:r>
        <w:rPr>
          <w:rFonts w:ascii="Times New Roman" w:hAnsi="Times New Roman"/>
          <w:i/>
          <w:sz w:val="19"/>
        </w:rPr>
        <w:t>FIG 15 Coupled Hydro Mechanical Consolidation</w:t>
      </w:r>
    </w:p>
    <w:p>
      <w:pPr>
        <w:spacing w:before="160" w:after="40"/>
        <w:jc w:val="center"/>
      </w:pPr>
    </w:p>
    <w:p>
      <w:r>
        <w:drawing>
          <wp:inline xmlns:a="http://schemas.openxmlformats.org/drawingml/2006/main" xmlns:pic="http://schemas.openxmlformats.org/drawingml/2006/picture">
            <wp:extent cx="5486400" cy="3566160"/>
            <wp:docPr id="2" name="Picture 2"/>
            <wp:cNvGraphicFramePr>
              <a:graphicFrameLocks noChangeAspect="1"/>
            </wp:cNvGraphicFramePr>
            <a:graphic>
              <a:graphicData uri="http://schemas.openxmlformats.org/drawingml/2006/picture">
                <pic:pic>
                  <pic:nvPicPr>
                    <pic:cNvPr id="0" name="FIG_16_3D_Numerical_FEM_Stress_Strain_Field.png"/>
                    <pic:cNvPicPr/>
                  </pic:nvPicPr>
                  <pic:blipFill>
                    <a:blip r:embed="rId10"/>
                    <a:stretch>
                      <a:fillRect/>
                    </a:stretch>
                  </pic:blipFill>
                  <pic:spPr>
                    <a:xfrm>
                      <a:off x="0" y="0"/>
                      <a:ext cx="5486400" cy="3566160"/>
                    </a:xfrm>
                    <a:prstGeom prst="rect"/>
                  </pic:spPr>
                </pic:pic>
              </a:graphicData>
            </a:graphic>
          </wp:inline>
        </w:drawing>
      </w:r>
    </w:p>
    <w:p>
      <w:pPr>
        <w:spacing w:after="200"/>
        <w:jc w:val="center"/>
      </w:pPr>
      <w:r>
        <w:rPr>
          <w:rFonts w:ascii="Times New Roman" w:hAnsi="Times New Roman"/>
          <w:i/>
          <w:sz w:val="19"/>
        </w:rPr>
        <w:t>FIG 16 3D Numerical FEM Stress Strain Field</w:t>
      </w:r>
    </w:p>
    <w:p>
      <w:pPr>
        <w:spacing w:before="160" w:after="40"/>
        <w:jc w:val="center"/>
      </w:pPr>
    </w:p>
    <w:p>
      <w:r>
        <w:drawing>
          <wp:inline xmlns:a="http://schemas.openxmlformats.org/drawingml/2006/main" xmlns:pic="http://schemas.openxmlformats.org/drawingml/2006/picture">
            <wp:extent cx="5486400" cy="2493818"/>
            <wp:docPr id="3" name="Picture 3"/>
            <wp:cNvGraphicFramePr>
              <a:graphicFrameLocks noChangeAspect="1"/>
            </wp:cNvGraphicFramePr>
            <a:graphic>
              <a:graphicData uri="http://schemas.openxmlformats.org/drawingml/2006/picture">
                <pic:pic>
                  <pic:nvPicPr>
                    <pic:cNvPr id="0" name="FIG_17_PINN_Architecture_and_Loss_Convergence.png"/>
                    <pic:cNvPicPr/>
                  </pic:nvPicPr>
                  <pic:blipFill>
                    <a:blip r:embed="rId11"/>
                    <a:stretch>
                      <a:fillRect/>
                    </a:stretch>
                  </pic:blipFill>
                  <pic:spPr>
                    <a:xfrm>
                      <a:off x="0" y="0"/>
                      <a:ext cx="5486400" cy="2493818"/>
                    </a:xfrm>
                    <a:prstGeom prst="rect"/>
                  </pic:spPr>
                </pic:pic>
              </a:graphicData>
            </a:graphic>
          </wp:inline>
        </w:drawing>
      </w:r>
    </w:p>
    <w:p>
      <w:pPr>
        <w:spacing w:after="200"/>
        <w:jc w:val="center"/>
      </w:pPr>
      <w:r>
        <w:rPr>
          <w:rFonts w:ascii="Times New Roman" w:hAnsi="Times New Roman"/>
          <w:i/>
          <w:sz w:val="19"/>
        </w:rPr>
        <w:t>FIG 17 PINN Architecture and Loss Convergence</w:t>
      </w:r>
    </w:p>
    <w:p>
      <w:pPr>
        <w:spacing w:before="160" w:after="40"/>
        <w:jc w:val="center"/>
      </w:pPr>
    </w:p>
    <w:p>
      <w:r>
        <w:drawing>
          <wp:inline xmlns:a="http://schemas.openxmlformats.org/drawingml/2006/main" xmlns:pic="http://schemas.openxmlformats.org/drawingml/2006/picture">
            <wp:extent cx="5486400" cy="3017520"/>
            <wp:docPr id="4" name="Picture 4"/>
            <wp:cNvGraphicFramePr>
              <a:graphicFrameLocks noChangeAspect="1"/>
            </wp:cNvGraphicFramePr>
            <a:graphic>
              <a:graphicData uri="http://schemas.openxmlformats.org/drawingml/2006/picture">
                <pic:pic>
                  <pic:nvPicPr>
                    <pic:cNvPr id="0" name="FIG_18_Building_Risk_Zoning_150_Structures.png"/>
                    <pic:cNvPicPr/>
                  </pic:nvPicPr>
                  <pic:blipFill>
                    <a:blip r:embed="rId12"/>
                    <a:stretch>
                      <a:fillRect/>
                    </a:stretch>
                  </pic:blipFill>
                  <pic:spPr>
                    <a:xfrm>
                      <a:off x="0" y="0"/>
                      <a:ext cx="5486400" cy="3017520"/>
                    </a:xfrm>
                    <a:prstGeom prst="rect"/>
                  </pic:spPr>
                </pic:pic>
              </a:graphicData>
            </a:graphic>
          </wp:inline>
        </w:drawing>
      </w:r>
    </w:p>
    <w:p>
      <w:pPr>
        <w:spacing w:after="200"/>
        <w:jc w:val="center"/>
      </w:pPr>
      <w:r>
        <w:rPr>
          <w:rFonts w:ascii="Times New Roman" w:hAnsi="Times New Roman"/>
          <w:i/>
          <w:sz w:val="19"/>
        </w:rPr>
        <w:t>FIG 18 Building Risk Zoning 150 Structures</w:t>
      </w:r>
    </w:p>
    <w:p>
      <w:pPr>
        <w:spacing w:before="160" w:after="40"/>
        <w:jc w:val="center"/>
      </w:pP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FIG_19_Realtime_Digital_Twin_TARP_Protocol.png"/>
                    <pic:cNvPicPr/>
                  </pic:nvPicPr>
                  <pic:blipFill>
                    <a:blip r:embed="rId13"/>
                    <a:stretch>
                      <a:fillRect/>
                    </a:stretch>
                  </pic:blipFill>
                  <pic:spPr>
                    <a:xfrm>
                      <a:off x="0" y="0"/>
                      <a:ext cx="5486400" cy="2743200"/>
                    </a:xfrm>
                    <a:prstGeom prst="rect"/>
                  </pic:spPr>
                </pic:pic>
              </a:graphicData>
            </a:graphic>
          </wp:inline>
        </w:drawing>
      </w:r>
    </w:p>
    <w:p>
      <w:pPr>
        <w:spacing w:after="200"/>
        <w:jc w:val="center"/>
      </w:pPr>
      <w:r>
        <w:rPr>
          <w:rFonts w:ascii="Times New Roman" w:hAnsi="Times New Roman"/>
          <w:i/>
          <w:sz w:val="19"/>
        </w:rPr>
        <w:t>FIG 19 Realtime Digital Twin TARP Protocol</w:t>
      </w:r>
    </w:p>
    <w:p>
      <w:pPr>
        <w:spacing w:before="160" w:after="40"/>
        <w:jc w:val="center"/>
      </w:pPr>
    </w:p>
    <w:p>
      <w:r>
        <w:drawing>
          <wp:inline xmlns:a="http://schemas.openxmlformats.org/drawingml/2006/main" xmlns:pic="http://schemas.openxmlformats.org/drawingml/2006/picture">
            <wp:extent cx="5486400" cy="3017520"/>
            <wp:docPr id="6" name="Picture 6"/>
            <wp:cNvGraphicFramePr>
              <a:graphicFrameLocks noChangeAspect="1"/>
            </wp:cNvGraphicFramePr>
            <a:graphic>
              <a:graphicData uri="http://schemas.openxmlformats.org/drawingml/2006/picture">
                <pic:pic>
                  <pic:nvPicPr>
                    <pic:cNvPr id="0" name="FIG_20_Longitudinal_3D_Displacement_Evolution.png"/>
                    <pic:cNvPicPr/>
                  </pic:nvPicPr>
                  <pic:blipFill>
                    <a:blip r:embed="rId14"/>
                    <a:stretch>
                      <a:fillRect/>
                    </a:stretch>
                  </pic:blipFill>
                  <pic:spPr>
                    <a:xfrm>
                      <a:off x="0" y="0"/>
                      <a:ext cx="5486400" cy="3017520"/>
                    </a:xfrm>
                    <a:prstGeom prst="rect"/>
                  </pic:spPr>
                </pic:pic>
              </a:graphicData>
            </a:graphic>
          </wp:inline>
        </w:drawing>
      </w:r>
    </w:p>
    <w:p>
      <w:pPr>
        <w:spacing w:after="200"/>
        <w:jc w:val="center"/>
      </w:pPr>
      <w:r>
        <w:rPr>
          <w:rFonts w:ascii="Times New Roman" w:hAnsi="Times New Roman"/>
          <w:i/>
          <w:sz w:val="19"/>
        </w:rPr>
        <w:t>FIG 20 Longitudinal 3D Displacement Evolution</w:t>
      </w:r>
    </w:p>
    <w:p>
      <w:pPr>
        <w:spacing w:before="160" w:after="40"/>
        <w:jc w:val="center"/>
      </w:pPr>
    </w:p>
    <w:p>
      <w:r>
        <w:drawing>
          <wp:inline xmlns:a="http://schemas.openxmlformats.org/drawingml/2006/main" xmlns:pic="http://schemas.openxmlformats.org/drawingml/2006/picture">
            <wp:extent cx="5486400" cy="3135086"/>
            <wp:docPr id="7" name="Picture 7"/>
            <wp:cNvGraphicFramePr>
              <a:graphicFrameLocks noChangeAspect="1"/>
            </wp:cNvGraphicFramePr>
            <a:graphic>
              <a:graphicData uri="http://schemas.openxmlformats.org/drawingml/2006/picture">
                <pic:pic>
                  <pic:nvPicPr>
                    <pic:cNvPr id="0" name="FIG_21_Integrated_Methodological_Framework_Phase3.png"/>
                    <pic:cNvPicPr/>
                  </pic:nvPicPr>
                  <pic:blipFill>
                    <a:blip r:embed="rId15"/>
                    <a:stretch>
                      <a:fillRect/>
                    </a:stretch>
                  </pic:blipFill>
                  <pic:spPr>
                    <a:xfrm>
                      <a:off x="0" y="0"/>
                      <a:ext cx="5486400" cy="3135086"/>
                    </a:xfrm>
                    <a:prstGeom prst="rect"/>
                  </pic:spPr>
                </pic:pic>
              </a:graphicData>
            </a:graphic>
          </wp:inline>
        </w:drawing>
      </w:r>
    </w:p>
    <w:p>
      <w:pPr>
        <w:spacing w:after="200"/>
        <w:jc w:val="center"/>
      </w:pPr>
      <w:r>
        <w:rPr>
          <w:rFonts w:ascii="Times New Roman" w:hAnsi="Times New Roman"/>
          <w:i/>
          <w:sz w:val="19"/>
        </w:rPr>
        <w:t>FIG 21 Integrated Methodological Framework Phase3</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