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3"/>
      </w:tblGrid>
      <w:tr>
        <w:tc>
          <w:tcPr>
            <w:tcW w:type="dxa" w:w="9403"/>
            <w:shd w:fill="1B365D"/>
            <w:tcMar>
              <w:top w:w="180" w:type="dxa"/>
              <w:bottom w:w="180" w:type="dxa"/>
              <w:left w:w="200" w:type="dxa"/>
              <w:right w:w="200" w:type="dxa"/>
            </w:tcMar>
          </w:tcPr>
          <w:p>
            <w:pPr>
              <w:spacing w:after="40"/>
              <w:jc w:val="center"/>
            </w:pPr>
            <w:r>
              <w:rPr>
                <w:rFonts w:ascii="Times New Roman" w:hAnsi="Times New Roman"/>
                <w:b/>
                <w:color w:val="FFFFFF"/>
                <w:sz w:val="28"/>
              </w:rPr>
              <w:t>TỜ TRÌNH XIN NGHIỆM THU ĐỀ TÀI GIAI ĐOẠN 3</w:t>
            </w:r>
          </w:p>
          <w:p>
            <w:pPr>
              <w:spacing w:before="40"/>
              <w:jc w:val="center"/>
            </w:pPr>
            <w:r>
              <w:rPr>
                <w:rFonts w:ascii="Times New Roman" w:hAnsi="Times New Roman"/>
                <w:i/>
                <w:color w:val="C8DCF0"/>
                <w:sz w:val="20"/>
              </w:rPr>
              <w:t>HỒ SƠ NGHIỆM THU CHÍNH THỨC GIAI ĐOẠN 3 - METRO 3 HÀ NỘI</w:t>
            </w:r>
          </w:p>
        </w:tc>
      </w:tr>
    </w:tbl>
    <w:p>
      <w:pPr>
        <w:spacing w:after="120"/>
      </w:pPr>
    </w:p>
    <w:p>
      <w:pPr>
        <w:spacing w:after="120" w:line="276" w:lineRule="auto"/>
        <w:jc w:val="both"/>
      </w:pPr>
      <w:r>
        <w:rPr>
          <w:rFonts w:ascii="Times New Roman" w:hAnsi="Times New Roman"/>
          <w:sz w:val="22"/>
        </w:rPr>
        <w:t>Kính gửi: Hội đồng Khoa học Khoa Công trình và Môi trường, Bộ môn Địa kỹ thuật và Không gian ngầm.</w:t>
      </w:r>
    </w:p>
    <w:p>
      <w:pPr>
        <w:spacing w:after="120" w:line="276" w:lineRule="auto"/>
        <w:jc w:val="both"/>
      </w:pPr>
      <w:r>
        <w:rPr>
          <w:rFonts w:ascii="Times New Roman" w:hAnsi="Times New Roman"/>
          <w:sz w:val="22"/>
        </w:rPr>
        <w:t>Căn cứ Kế hoạch nghiên cứu đề tài khoa học và luận án tiến sĩ về đánh giá độ nhạy và dự báo biến dạng do thi công hầm TBM Tuyến Metro số 3 Hà Nội;</w:t>
        <w:br/>
        <w:t>Căn cứ kết quả hoàn thành xuất sắc Giai đoạn 1 và Giai đoạn 2 đã được niêm phong đóng băng baseline an toàn;</w:t>
        <w:br/>
        <w:t>Nhóm nghiên cứu trân trọng kính trình Hội đồng nghiệm thu chính thức Giai đoạn 3 với đầy đủ các cấu phần:</w:t>
        <w:br/>
        <w:t>1. Mô hình giải tích đa trường Thấm - Cơ học (Coupled HM) phân rã thành phần lún TBM và lún cố kết.</w:t>
        <w:br/>
        <w:t>2. Mô hình số phần tử hữu hạn 3D (3D FEM Benchmark) tương tác hầm đôi và cọc móng.</w:t>
        <w:br/>
        <w:t>3. Mạng nơ-ron vật lý sâu PINN dự báo lún tức thời đạt R2 = 0.9994.</w:t>
        <w:br/>
        <w:t>4. Cơ sở dữ liệu và bản đồ rủi ro 150 công trình, bảo vệ Quần thể Di tích Văn Miếu và Chùa Phổ Giác.</w:t>
        <w:br/>
        <w:t>5. Hệ thống bản đồ số WebGIS Digital Twin 3.0 tương tác với bảng điều khiển TARP.</w:t>
        <w:br/>
        <w:t>6. Trọn bộ 5 file Excel chuyên sâu và 7 hình vẽ minh họa phân giải cao 300 DPI.</w:t>
      </w:r>
    </w:p>
    <w:p>
      <w:pPr>
        <w:spacing w:after="120" w:line="276" w:lineRule="auto"/>
        <w:jc w:val="both"/>
      </w:pPr>
      <w:r>
        <w:rPr>
          <w:rFonts w:ascii="Times New Roman" w:hAnsi="Times New Roman"/>
          <w:sz w:val="22"/>
        </w:rPr>
        <w:t>Kính đề nghị Hội đồng xem xét và tổ chức phiên họp nghiệm thu chính thức.</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