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Food</w:t>
      </w:r>
      <w:r>
        <w:t xml:space="preserve"> </w:t>
      </w:r>
      <w:r>
        <w:t xml:space="preserve">system</w:t>
      </w:r>
      <w:r>
        <w:t xml:space="preserve"> </w:t>
      </w:r>
      <w:r>
        <w:t xml:space="preserve">resilience</w:t>
      </w:r>
    </w:p>
    <w:p>
      <w:pPr>
        <w:pStyle w:val="Subtitle"/>
      </w:pPr>
      <w:r>
        <w:t xml:space="preserve">Concept</w:t>
      </w:r>
      <w:r>
        <w:t xml:space="preserve"> </w:t>
      </w:r>
      <w:r>
        <w:t xml:space="preserve">review</w:t>
      </w:r>
      <w:r>
        <w:t xml:space="preserve"> </w:t>
      </w:r>
      <w:r>
        <w:t xml:space="preserve">(J06)</w:t>
      </w:r>
      <w:r>
        <w:t xml:space="preserve"> </w:t>
      </w:r>
      <w:r>
        <w:t xml:space="preserve">·</w:t>
      </w:r>
      <w:r>
        <w:t xml:space="preserve"> </w:t>
      </w:r>
      <w:r>
        <w:t xml:space="preserve">also:</w:t>
      </w:r>
      <w:r>
        <w:t xml:space="preserve"> </w:t>
      </w:r>
      <w:r>
        <w:t xml:space="preserve">food</w:t>
      </w:r>
      <w:r>
        <w:t xml:space="preserve"> </w:t>
      </w:r>
      <w:r>
        <w:t xml:space="preserve">resilience,</w:t>
      </w:r>
      <w:r>
        <w:t xml:space="preserve"> </w:t>
      </w:r>
      <w:r>
        <w:t xml:space="preserve">resilient</w:t>
      </w:r>
      <w:r>
        <w:t xml:space="preserve"> </w:t>
      </w:r>
      <w:r>
        <w:t xml:space="preserve">food</w:t>
      </w:r>
      <w:r>
        <w:t xml:space="preserve"> </w:t>
      </w:r>
      <w:r>
        <w:t xml:space="preserve">systems</w:t>
      </w:r>
      <w:r>
        <w:t xml:space="preserve"> </w:t>
      </w:r>
      <w:r>
        <w:t xml:space="preserve">·</w:t>
      </w:r>
      <w:r>
        <w:t xml:space="preserve"> </w:t>
      </w:r>
      <w:r>
        <w:t xml:space="preserve">draft,</w:t>
      </w:r>
      <w:r>
        <w:t xml:space="preserve"> </w:t>
      </w:r>
      <w:r>
        <w:t xml:space="preserve">28</w:t>
      </w:r>
      <w:r>
        <w:t xml:space="preserve"> </w:t>
      </w:r>
      <w:r>
        <w:t xml:space="preserve">October</w:t>
      </w:r>
      <w:r>
        <w:t xml:space="preserve"> </w:t>
      </w:r>
      <w:r>
        <w:t xml:space="preserve">2026</w:t>
      </w:r>
    </w:p>
    <w:p>
      <w:pPr>
        <w:pStyle w:val="FirstParagraph"/>
      </w:pPr>
      <w:r>
        <w:rPr>
          <w:bCs/>
          <w:b/>
        </w:rPr>
        <w:t xml:space="preserve">Short definition.</w:t>
      </w:r>
      <w:r>
        <w:t xml:space="preserve"> </w:t>
      </w:r>
      <w:r>
        <w:t xml:space="preserve">The capacity of a food system and its actors to keep delivering food security through shocks and stresses by resisting, absorbing, adapting, recovering and, where needed, transforming.</w:t>
      </w:r>
    </w:p>
    <w:bookmarkStart w:id="20" w:name="my-first-take"/>
    <w:p>
      <w:pPr>
        <w:pStyle w:val="Heading2"/>
      </w:pPr>
      <w:r>
        <w:t xml:space="preserve">My first take</w:t>
      </w:r>
    </w:p>
    <w:p>
      <w:pPr>
        <w:pStyle w:val="FirstParagraph"/>
      </w:pPr>
      <w:r>
        <w:rPr>
          <w:iCs/>
          <w:i/>
        </w:rPr>
        <w:t xml:space="preserve">Written by Quoc before reading the draft (2026-10-28).</w:t>
      </w:r>
    </w:p>
    <w:p>
      <w:pPr>
        <w:pStyle w:val="BodyText"/>
      </w:pPr>
      <w:r>
        <w:t xml:space="preserve">Resilience = resistance + adaptive capacity + recovery capacity against stresses and shocks</w:t>
      </w:r>
    </w:p>
    <w:p>
      <w:pPr>
        <w:pStyle w:val="BodyText"/>
      </w:pPr>
      <w:r>
        <w:t xml:space="preserve">Food system resilience = capacities of food systems and food system actors to cope with and adapt to stresses and shocks (i.e., ensuring nutritional, health, socio-economic outcomes) while guaranteeing the ability to recover in long term.</w:t>
      </w:r>
    </w:p>
    <w:bookmarkEnd w:id="20"/>
    <w:bookmarkStart w:id="21" w:name="definitions"/>
    <w:p>
      <w:pPr>
        <w:pStyle w:val="Heading2"/>
      </w:pPr>
      <w:r>
        <w:t xml:space="preserve">Definitions</w:t>
      </w:r>
    </w:p>
    <w:p>
      <w:pPr>
        <w:pStyle w:val="FirstParagraph"/>
      </w:pPr>
      <w:r>
        <w:t xml:space="preserve">Resilience entered food systems research from ecology. Holling (1973) separated stability, the tendency to return to equilibrium after a disturbance, from resilience, which he called</w:t>
      </w:r>
      <w:r>
        <w:t xml:space="preserve"> </w:t>
      </w:r>
      <w:r>
        <w:t xml:space="preserve">“</w:t>
      </w:r>
      <w:r>
        <w:t xml:space="preserve">a measure of the persistence of systems</w:t>
      </w:r>
      <w:r>
        <w:t xml:space="preserve">”</w:t>
      </w:r>
      <w:r>
        <w:t xml:space="preserve"> </w:t>
      </w:r>
      <w:r>
        <w:t xml:space="preserve">and of their ability to absorb change and disturbance (PDF p. 16). His point was that a system can fluctuate widely and still persist, so efficiency near one stable state is a poor guide to survival under surprise. The older engineering meaning, which looks at</w:t>
      </w:r>
      <w:r>
        <w:t xml:space="preserve"> </w:t>
      </w:r>
      <w:r>
        <w:t xml:space="preserve">“</w:t>
      </w:r>
      <w:r>
        <w:t xml:space="preserve">the speed of return to equilibrium</w:t>
      </w:r>
      <w:r>
        <w:t xml:space="preserve">”</w:t>
      </w:r>
      <w:r>
        <w:t xml:space="preserve"> </w:t>
      </w:r>
      <w:r>
        <w:t xml:space="preserve">(Folke, 2006, p. 256), stayed influential in disaster management and supply chain studies, and it still shapes the idea that resilience means bouncing back.</w:t>
      </w:r>
    </w:p>
    <w:p>
      <w:pPr>
        <w:pStyle w:val="BodyText"/>
      </w:pPr>
      <w:r>
        <w:t xml:space="preserve">Because ecologists then recognised that people manage, degrade and redesign ecosystems, the concept was widened to social–ecological systems. Walker et al. (2004) defined resilience as</w:t>
      </w:r>
      <w:r>
        <w:t xml:space="preserve"> </w:t>
      </w:r>
      <w:r>
        <w:t xml:space="preserve">“</w:t>
      </w:r>
      <w:r>
        <w:t xml:space="preserve">the capacity of a system to absorb disturbance and reorganize while undergoing change</w:t>
      </w:r>
      <w:r>
        <w:t xml:space="preserve">”</w:t>
      </w:r>
      <w:r>
        <w:t xml:space="preserve"> </w:t>
      </w:r>
      <w:r>
        <w:t xml:space="preserve">while keeping the same function, structure and identity (PDF p. 3). They added adaptability, the capacity of actors to manage resilience, and transformability,</w:t>
      </w:r>
      <w:r>
        <w:t xml:space="preserve"> </w:t>
      </w:r>
      <w:r>
        <w:t xml:space="preserve">“</w:t>
      </w:r>
      <w:r>
        <w:t xml:space="preserve">the capacity to create a fundamentally new system</w:t>
      </w:r>
      <w:r>
        <w:t xml:space="preserve">”</w:t>
      </w:r>
      <w:r>
        <w:t xml:space="preserve"> </w:t>
      </w:r>
      <w:r>
        <w:t xml:space="preserve">when the existing one becomes untenable (PDF p. 2). Food security researchers took up this framing through work on global environmental change and vulnerability. Ericksen et al. (2010, p. 70) defined resilience as</w:t>
      </w:r>
      <w:r>
        <w:t xml:space="preserve"> </w:t>
      </w:r>
      <w:r>
        <w:t xml:space="preserve">“</w:t>
      </w:r>
      <w:r>
        <w:t xml:space="preserve">the capacity of a system to absorb change without shifting to an altered state</w:t>
      </w:r>
      <w:r>
        <w:t xml:space="preserve">”</w:t>
      </w:r>
      <w:r>
        <w:t xml:space="preserve"> </w:t>
      </w:r>
      <w:r>
        <w:t xml:space="preserve">and placed it beside Vulnerability in a food system framework. Development researchers then made it usable for households and programmes. Béné et al. (2012, p. 21) proposed</w:t>
      </w:r>
      <w:r>
        <w:t xml:space="preserve"> </w:t>
      </w:r>
      <w:r>
        <w:t xml:space="preserve">“</w:t>
      </w:r>
      <w:r>
        <w:t xml:space="preserve">absorptive, adaptive, and transformative capacity</w:t>
      </w:r>
      <w:r>
        <w:t xml:space="preserve">”</w:t>
      </w:r>
      <w:r>
        <w:t xml:space="preserve"> </w:t>
      </w:r>
      <w:r>
        <w:t xml:space="preserve">as the three components of resilience, linking coping, incremental adjustment and transformational change.</w:t>
      </w:r>
    </w:p>
    <w:p>
      <w:pPr>
        <w:pStyle w:val="BodyText"/>
      </w:pPr>
      <w:r>
        <w:t xml:space="preserve">The most cited definition of food system resilience came from Tendall et al. (2015), who wrote it to cut through the many definitions borrowed from other fields. For them it is the</w:t>
      </w:r>
      <w:r>
        <w:t xml:space="preserve"> </w:t>
      </w:r>
      <w:r>
        <w:t xml:space="preserve">“</w:t>
      </w:r>
      <w:r>
        <w:t xml:space="preserve">capacity over time of a food system and its units at multiple levels</w:t>
      </w:r>
      <w:r>
        <w:t xml:space="preserve">”</w:t>
      </w:r>
      <w:r>
        <w:t xml:space="preserve"> </w:t>
      </w:r>
      <w:r>
        <w:t xml:space="preserve">“</w:t>
      </w:r>
      <w:r>
        <w:t xml:space="preserve">to provide sufficient, appropriate and accessible food to all</w:t>
      </w:r>
      <w:r>
        <w:t xml:space="preserve">”</w:t>
      </w:r>
      <w:r>
        <w:t xml:space="preserve"> </w:t>
      </w:r>
      <w:r>
        <w:t xml:space="preserve">in the face of various and even unforeseen disturbances (p. 19). Three features of this definition have stuck. It names the function to protect, which is Food security. It includes unforeseen disturbances, so</w:t>
      </w:r>
      <w:r>
        <w:t xml:space="preserve"> </w:t>
      </w:r>
      <w:r>
        <w:t xml:space="preserve">“</w:t>
      </w:r>
      <w:r>
        <w:t xml:space="preserve">resilience extends beyond conventional risk management</w:t>
      </w:r>
      <w:r>
        <w:t xml:space="preserve">”</w:t>
      </w:r>
      <w:r>
        <w:t xml:space="preserve"> </w:t>
      </w:r>
      <w:r>
        <w:t xml:space="preserve">(p. 19). And it treats resilience as a matter of degree, built through a cycle of robustness, absorption, recovery and learning. Later work moved the focus from the system to its actors. Béné et al. (2023, p. 1438) define food system resilience as the ability of individual and institutional actors to</w:t>
      </w:r>
      <w:r>
        <w:t xml:space="preserve"> </w:t>
      </w:r>
      <w:r>
        <w:t xml:space="preserve">“</w:t>
      </w:r>
      <w:r>
        <w:t xml:space="preserve">maintain, protect, or successfully recover the key functions of that system</w:t>
      </w:r>
      <w:r>
        <w:t xml:space="preserve">”</w:t>
      </w:r>
      <w:r>
        <w:t xml:space="preserve"> </w:t>
      </w:r>
      <w:r>
        <w:t xml:space="preserve">despite disturbances, with food security as the main outcome. At national scale, Béné et al. (2026) read it empirically as</w:t>
      </w:r>
      <w:r>
        <w:t xml:space="preserve"> </w:t>
      </w:r>
      <w:r>
        <w:t xml:space="preserve">“</w:t>
      </w:r>
      <w:r>
        <w:t xml:space="preserve">the ability to decouple food-security outcomes from shock severity</w:t>
      </w:r>
      <w:r>
        <w:t xml:space="preserve">”</w:t>
      </w:r>
      <w:r>
        <w:t xml:space="preserve"> </w:t>
      </w:r>
      <w:r>
        <w:t xml:space="preserve">(PDF p. 1). The terms food resilience, resilient food systems and food system resilience are used for the same idea in this literature, and this page treats them as one concept.</w:t>
      </w:r>
    </w:p>
    <w:p>
      <w:pPr>
        <w:pStyle w:val="BodyText"/>
      </w:pPr>
      <w:r>
        <w:t xml:space="preserve">Definitions still diverge on what resilience should restore. The HLPE (2025, p. 24) notes that most approaches aim to</w:t>
      </w:r>
      <w:r>
        <w:t xml:space="preserve"> </w:t>
      </w:r>
      <w:r>
        <w:t xml:space="preserve">“</w:t>
      </w:r>
      <w:r>
        <w:t xml:space="preserve">bounce back to restore a predisturbance status</w:t>
      </w:r>
      <w:r>
        <w:t xml:space="preserve">”</w:t>
      </w:r>
      <w:r>
        <w:t xml:space="preserve">, built around resisting, absorbing, adapting to, recovering from and preventing shocks. Its own concept, equitably transformative resilience,</w:t>
      </w:r>
      <w:r>
        <w:t xml:space="preserve"> </w:t>
      </w:r>
      <w:r>
        <w:t xml:space="preserve">“</w:t>
      </w:r>
      <w:r>
        <w:t xml:space="preserve">requires food systems to bounce forward in equitable ways</w:t>
      </w:r>
      <w:r>
        <w:t xml:space="preserve">”</w:t>
      </w:r>
      <w:r>
        <w:t xml:space="preserve"> </w:t>
      </w:r>
      <w:r>
        <w:t xml:space="preserve">by addressing the root causes of differential vulnerability (p. 32). The split is partly disciplinary (ecology and engineering versus political economy) and partly about purpose: protecting today’s supply chains, or changing who bears risk. Definitions also differ on the unit of analysis: a household, a value chain, a city region, a country or the global trade network.</w:t>
      </w:r>
    </w:p>
    <w:p>
      <w:pPr>
        <w:pStyle w:val="BodyText"/>
      </w:pPr>
      <w:r>
        <w:t xml:space="preserve">Food system resilience should be kept apart from neighbouring ideas. Resilience is the general property of any system; this page applies it to food systems and their food security function. Vulnerability describes exposure, sensitivity and lack of capacity, and is often treated as the reverse side of resilience (Ericksen et al., 2010). Sustainability is the capacity to preserve a system in the long run, while resilience is its capacity over time in the face of disturbances; Tendall et al. (2015) present the two as complementary. Resilience is also not the same as stability or risk management: a resilient food system is more of</w:t>
      </w:r>
      <w:r>
        <w:t xml:space="preserve"> </w:t>
      </w:r>
      <w:r>
        <w:t xml:space="preserve">“</w:t>
      </w:r>
      <w:r>
        <w:t xml:space="preserve">a safe-fail food system than a fail-safe food system</w:t>
      </w:r>
      <w:r>
        <w:t xml:space="preserve">”</w:t>
      </w:r>
      <w:r>
        <w:t xml:space="preserve"> </w:t>
      </w:r>
      <w:r>
        <w:t xml:space="preserve">(Tendall et al., 2015, p. 20). Food systems transformation overlaps with transformative capacity, but transformation can be pursued for reasons other than shocks.</w:t>
      </w:r>
    </w:p>
    <w:p>
      <w:pPr>
        <w:pStyle w:val="BodyText"/>
      </w:pPr>
      <w:r>
        <w:rPr>
          <w:bCs/>
          <w:b/>
        </w:rPr>
        <w:t xml:space="preserve">Working definition used here:</w:t>
      </w:r>
      <w:r>
        <w:t xml:space="preserve"> </w:t>
      </w:r>
      <w:r>
        <w:t xml:space="preserve">food system resilience is the capacity of a food system and its actors, from households and value chains to territories, countries and global trade, to keep delivering food security and nutrition in the face of shocks and stresses, by resisting, absorbing, adapting, recovering and, where the existing system is untenable, transforming in ways that do not shift risk onto the most vulnerable</w:t>
      </w:r>
      <w:r>
        <w:t xml:space="preserve"> </w:t>
      </w:r>
      <w:r>
        <w:rPr>
          <w:iCs/>
          <w:i/>
        </w:rPr>
        <w:t xml:space="preserve">(Claude’s synthesis of Tendall et al., 2015; Béné et al., 2023; HLPE, 2025)</w:t>
      </w:r>
      <w:r>
        <w:t xml:space="preserve">.</w:t>
      </w:r>
    </w:p>
    <w:bookmarkEnd w:id="21"/>
    <w:bookmarkStart w:id="22" w:name="features"/>
    <w:p>
      <w:pPr>
        <w:pStyle w:val="Heading2"/>
      </w:pPr>
      <w:r>
        <w:t xml:space="preserve">Features</w:t>
      </w:r>
    </w:p>
    <w:p>
      <w:pPr>
        <w:pStyle w:val="FirstParagraph"/>
      </w:pPr>
      <w:r>
        <w:rPr>
          <w:bCs/>
          <w:b/>
        </w:rPr>
        <w:t xml:space="preserve">Components.</w:t>
      </w:r>
      <w:r>
        <w:t xml:space="preserve"> </w:t>
      </w:r>
      <w:r>
        <w:t xml:space="preserve">Tendall et al. (2015, p. 19) break food system resilience into robustness,</w:t>
      </w:r>
      <w:r>
        <w:t xml:space="preserve"> </w:t>
      </w:r>
      <w:r>
        <w:t xml:space="preserve">“</w:t>
      </w:r>
      <w:r>
        <w:t xml:space="preserve">the capacity to withstand the disturbance in the first place</w:t>
      </w:r>
      <w:r>
        <w:t xml:space="preserve">”</w:t>
      </w:r>
      <w:r>
        <w:t xml:space="preserve">, redundancy,</w:t>
      </w:r>
      <w:r>
        <w:t xml:space="preserve"> </w:t>
      </w:r>
      <w:r>
        <w:t xml:space="preserve">“</w:t>
      </w:r>
      <w:r>
        <w:t xml:space="preserve">the extent to which elements of the system are replaceable</w:t>
      </w:r>
      <w:r>
        <w:t xml:space="preserve">”</w:t>
      </w:r>
      <w:r>
        <w:t xml:space="preserve">, the speed of recovery, and the learning that follows a shock. Actor-based frameworks group the same ideas into absorptive, adaptive and transformative capacities held by farmers, traders, processors, retailers, consumers and public agencies (Béné et al., 2012; Béné et al., 2023). At system level these capacities combine with emergent properties such as</w:t>
      </w:r>
      <w:r>
        <w:t xml:space="preserve"> </w:t>
      </w:r>
      <w:r>
        <w:t xml:space="preserve">“</w:t>
      </w:r>
      <w:r>
        <w:t xml:space="preserve">connectivity, redundancy, diversity, competitiveness/rule of law, and inclusiveness</w:t>
      </w:r>
      <w:r>
        <w:t xml:space="preserve">”</w:t>
      </w:r>
      <w:r>
        <w:t xml:space="preserve"> </w:t>
      </w:r>
      <w:r>
        <w:t xml:space="preserve">(Béné et al., 2026, PDF p. 3). The components matter because of how they interact once a shock arrives.</w:t>
      </w:r>
    </w:p>
    <w:p>
      <w:pPr>
        <w:pStyle w:val="BodyText"/>
      </w:pPr>
      <w:r>
        <w:rPr>
          <w:bCs/>
          <w:b/>
        </w:rPr>
        <w:t xml:space="preserve">Mechanisms.</w:t>
      </w:r>
      <w:r>
        <w:t xml:space="preserve"> </w:t>
      </w:r>
      <w:r>
        <w:t xml:space="preserve">Resilience works through buffering, substitution and reorganisation. Diversity and redundancy let one source of food, income or supply route replace another when the first fails. The global system shows the opposite risk: despite its complexity,</w:t>
      </w:r>
      <w:r>
        <w:t xml:space="preserve"> </w:t>
      </w:r>
      <w:r>
        <w:t xml:space="preserve">“</w:t>
      </w:r>
      <w:r>
        <w:t xml:space="preserve">the global food system is also alarmingly simple</w:t>
      </w:r>
      <w:r>
        <w:t xml:space="preserve">”</w:t>
      </w:r>
      <w:r>
        <w:t xml:space="preserve">, because trade rests on a few crops and fertilisers (Puma, 2019, p. 260). A panel analysis of national food systems offers</w:t>
      </w:r>
      <w:r>
        <w:t xml:space="preserve"> </w:t>
      </w:r>
      <w:r>
        <w:t xml:space="preserve">“</w:t>
      </w:r>
      <w:r>
        <w:t xml:space="preserve">one of the first empirical demonstrations of the buffering effect of redundancy</w:t>
      </w:r>
      <w:r>
        <w:t xml:space="preserve">”</w:t>
      </w:r>
      <w:r>
        <w:t xml:space="preserve">, measured as the diversification of food supply sources (Béné et al., 2026, PDF p. 8). Actors’ responses are the second mechanism: households, firms and agencies draw on assets, networks and knowledge to cope, adapt or transform, and the mix of responses decides whether a shock passes through to food insecurity (Béné, 2020). Whether these mechanisms work depends on conditions outside the food chain itself.</w:t>
      </w:r>
    </w:p>
    <w:p>
      <w:pPr>
        <w:pStyle w:val="BodyText"/>
      </w:pPr>
      <w:r>
        <w:rPr>
          <w:bCs/>
          <w:b/>
        </w:rPr>
        <w:t xml:space="preserve">Conditions.</w:t>
      </w:r>
      <w:r>
        <w:t xml:space="preserve"> </w:t>
      </w:r>
      <w:r>
        <w:t xml:space="preserve">Governance is the clearest enabling condition. Government effectiveness reduced the effect of a wide range of disasters on undernourishment,</w:t>
      </w:r>
      <w:r>
        <w:t xml:space="preserve"> </w:t>
      </w:r>
      <w:r>
        <w:t xml:space="preserve">“</w:t>
      </w:r>
      <w:r>
        <w:t xml:space="preserve">reinforcing its centrality in strengthening food system resilience</w:t>
      </w:r>
      <w:r>
        <w:t xml:space="preserve">”</w:t>
      </w:r>
      <w:r>
        <w:t xml:space="preserve"> </w:t>
      </w:r>
      <w:r>
        <w:t xml:space="preserve">(Béné et al., 2026, PDF p. 8); economic development also helped, while high food price volatility made outcomes worse. Equity is a second condition. Schipanski et al. (2016) argue that unequal access to land, capital and food undermines resilience, yet</w:t>
      </w:r>
      <w:r>
        <w:t xml:space="preserve"> </w:t>
      </w:r>
      <w:r>
        <w:t xml:space="preserve">“</w:t>
      </w:r>
      <w:r>
        <w:t xml:space="preserve">less than 6% of food security publications over the past 25 years</w:t>
      </w:r>
      <w:r>
        <w:t xml:space="preserve">”</w:t>
      </w:r>
      <w:r>
        <w:t xml:space="preserve"> </w:t>
      </w:r>
      <w:r>
        <w:t xml:space="preserve">addressed gender, equity or justice (p. 602). A third condition is subjective. In coastal fishing communities in Fiji, Ghana, Sri Lanka and Viet Nam, resilience depended partly on people’s</w:t>
      </w:r>
      <w:r>
        <w:t xml:space="preserve"> </w:t>
      </w:r>
      <w:r>
        <w:t xml:space="preserve">“</w:t>
      </w:r>
      <w:r>
        <w:t xml:space="preserve">perceptions of their ability to cope, adapt or transform</w:t>
      </w:r>
      <w:r>
        <w:t xml:space="preserve">”</w:t>
      </w:r>
      <w:r>
        <w:t xml:space="preserve"> </w:t>
      </w:r>
      <w:r>
        <w:t xml:space="preserve">(Béné et al., 2016, p. 153). These conditions are hard to observe, which is why measurement is difficult.</w:t>
      </w:r>
    </w:p>
    <w:p>
      <w:pPr>
        <w:pStyle w:val="BodyText"/>
      </w:pPr>
      <w:r>
        <w:rPr>
          <w:bCs/>
          <w:b/>
        </w:rPr>
        <w:t xml:space="preserve">Measurement.</w:t>
      </w:r>
      <w:r>
        <w:t xml:space="preserve"> </w:t>
      </w:r>
      <w:r>
        <w:t xml:space="preserve">Resilience is a latent capacity, so it is usually inferred from what happens after a shock. Béné et al. (2023) propose a framework for local food systems whose first component is</w:t>
      </w:r>
      <w:r>
        <w:t xml:space="preserve"> </w:t>
      </w:r>
      <w:r>
        <w:t xml:space="preserve">“</w:t>
      </w:r>
      <w:r>
        <w:t xml:space="preserve">the mapping of the actors and the local food system</w:t>
      </w:r>
      <w:r>
        <w:t xml:space="preserve">”</w:t>
      </w:r>
      <w:r>
        <w:t xml:space="preserve">, followed by indicators of actors’ capacities and responses and of food security outcomes (p. 1437). National studies use panel data on shocks, governance and food supply to test which factors weaken the link between shocks and undernourishment (Béné et al., 2026). Modelling lags behind. A systematic review of studies in low- and middle-income countries found that</w:t>
      </w:r>
      <w:r>
        <w:t xml:space="preserve"> </w:t>
      </w:r>
      <w:r>
        <w:t xml:space="preserve">“</w:t>
      </w:r>
      <w:r>
        <w:t xml:space="preserve">most studies model the robustness of food systems and not their transformability</w:t>
      </w:r>
      <w:r>
        <w:t xml:space="preserve">”</w:t>
      </w:r>
      <w:r>
        <w:t xml:space="preserve"> </w:t>
      </w:r>
      <w:r>
        <w:t xml:space="preserve">(Meyer, 2020, PDF p. 1), and a review of global models concludes that the conceptualisation, assessment and</w:t>
      </w:r>
      <w:r>
        <w:t xml:space="preserve"> </w:t>
      </w:r>
      <w:r>
        <w:t xml:space="preserve">“</w:t>
      </w:r>
      <w:r>
        <w:t xml:space="preserve">modeling of systemic resilience are still in their infancy</w:t>
      </w:r>
      <w:r>
        <w:t xml:space="preserve">”</w:t>
      </w:r>
      <w:r>
        <w:t xml:space="preserve"> </w:t>
      </w:r>
      <w:r>
        <w:t xml:space="preserve">(Paulus et al., 2025, PDF p. 1). The midstream is a blind spot: little is known about how to</w:t>
      </w:r>
      <w:r>
        <w:t xml:space="preserve"> </w:t>
      </w:r>
      <w:r>
        <w:t xml:space="preserve">“</w:t>
      </w:r>
      <w:r>
        <w:t xml:space="preserve">strengthen the ability of processors, or traders, or street vendors</w:t>
      </w:r>
      <w:r>
        <w:t xml:space="preserve">”</w:t>
      </w:r>
      <w:r>
        <w:t xml:space="preserve"> </w:t>
      </w:r>
      <w:r>
        <w:t xml:space="preserve">to respond to shocks, especially in low- and middle-income countries (Béné, 2020, p. 810). Choices about what to measure are not neutral, which leads to the debates.</w:t>
      </w:r>
    </w:p>
    <w:p>
      <w:pPr>
        <w:pStyle w:val="BodyText"/>
      </w:pPr>
      <w:r>
        <w:rPr>
          <w:bCs/>
          <w:b/>
        </w:rPr>
        <w:t xml:space="preserve">Debates.</w:t>
      </w:r>
      <w:r>
        <w:t xml:space="preserve"> </w:t>
      </w:r>
      <w:r>
        <w:t xml:space="preserve">The first debate is about power. Critics argue that resilience thinking, born in ecology, shows an</w:t>
      </w:r>
      <w:r>
        <w:t xml:space="preserve"> </w:t>
      </w:r>
      <w:r>
        <w:t xml:space="preserve">“</w:t>
      </w:r>
      <w:r>
        <w:t xml:space="preserve">inability to appropriately capture and reflect social dynamics</w:t>
      </w:r>
      <w:r>
        <w:t xml:space="preserve">”</w:t>
      </w:r>
      <w:r>
        <w:t xml:space="preserve">, including agency and power (Béné et al., 2012, p. 12). Rotz and Fraser (2018) found in their agri-food case study that land consolidation, farmer debt and declining farmer power were central problems that standard assessment tools struggled to capture, and they urge researchers to</w:t>
      </w:r>
      <w:r>
        <w:t xml:space="preserve"> </w:t>
      </w:r>
      <w:r>
        <w:t xml:space="preserve">“</w:t>
      </w:r>
      <w:r>
        <w:t xml:space="preserve">resist the de-politicization of sustainability and resilience</w:t>
      </w:r>
      <w:r>
        <w:t xml:space="preserve">”</w:t>
      </w:r>
      <w:r>
        <w:t xml:space="preserve"> </w:t>
      </w:r>
      <w:r>
        <w:t xml:space="preserve">(PDF p. 6). The second debate is about what to restore. The HLPE (2025) and Anderson et al. (2026) argue that bounce-back approaches risk</w:t>
      </w:r>
      <w:r>
        <w:t xml:space="preserve"> </w:t>
      </w:r>
      <w:r>
        <w:t xml:space="preserve">“</w:t>
      </w:r>
      <w:r>
        <w:t xml:space="preserve">reinforcing the very structures that generated vulnerability</w:t>
      </w:r>
      <w:r>
        <w:t xml:space="preserve">”</w:t>
      </w:r>
      <w:r>
        <w:t xml:space="preserve"> </w:t>
      </w:r>
      <w:r>
        <w:t xml:space="preserve">(Anderson et al., 2026, p. 457), and call for equitable transformation. Capacity-based approaches respond that resilience still needs observable outcomes, such as food security after a shock, if it is to guide investment (Béné et al., 2023). The third debate is about scale. Some see relocalisation as the route to resilience; others defend long, just-in-time supply chains. Wood et al. (2023, p. 22) note that being local</w:t>
      </w:r>
      <w:r>
        <w:t xml:space="preserve"> </w:t>
      </w:r>
      <w:r>
        <w:t xml:space="preserve">“</w:t>
      </w:r>
      <w:r>
        <w:t xml:space="preserve">is no guarantee for greater sustainability</w:t>
      </w:r>
      <w:r>
        <w:t xml:space="preserve">”</w:t>
      </w:r>
      <w:r>
        <w:t xml:space="preserve"> </w:t>
      </w:r>
      <w:r>
        <w:t xml:space="preserve">and argue for applying resilience principles to governance at all scales. What remains unresolved is who decides which functions and whose food security count, and how to measure transformation rather than recovery.</w:t>
      </w:r>
    </w:p>
    <w:bookmarkEnd w:id="22"/>
    <w:bookmarkStart w:id="23" w:name="implications"/>
    <w:p>
      <w:pPr>
        <w:pStyle w:val="Heading2"/>
      </w:pPr>
      <w:r>
        <w:t xml:space="preserve">Implications</w:t>
      </w:r>
    </w:p>
    <w:p>
      <w:pPr>
        <w:pStyle w:val="FirstParagraph"/>
      </w:pPr>
      <w:r>
        <w:rPr>
          <w:bCs/>
          <w:b/>
        </w:rPr>
        <w:t xml:space="preserve">Evidence overview.</w:t>
      </w:r>
      <w:r>
        <w:t xml:space="preserve"> </w:t>
      </w:r>
      <w:r>
        <w:t xml:space="preserve">The evidence base is large but uneven. Meyer’s (2020) systematic review of food system and value chain resilience in low- and middle-income countries started from a Web of Science search that returned 367 publications (PDF p. 2). It found three clusters of work: global models of crop production, surveys of farmers’ adaptive behaviour, and mostly qualitative studies of food systems and value chains; quantitative studies mainly address robustness. Béné’s (2020) review of local food systems under COVID-19 found that most evidence concerns farmers and households, with little on traders, processors and vendors. The first global quantitative test, covering 191 countries, supports three buffers at national level: diversified food supply, government effectiveness and economic development (Béné et al., 2026). The HLPE (2025) adds that shocks are increasingly compound and that vulnerability is unequally distributed. Overall, evidence is strongest on household coping and weakest on midstream actors, transformation and long-term outcomes.</w:t>
      </w:r>
    </w:p>
    <w:p>
      <w:pPr>
        <w:pStyle w:val="BodyText"/>
      </w:pPr>
      <w:r>
        <w:rPr>
          <w:bCs/>
          <w:b/>
        </w:rPr>
        <w:t xml:space="preserve">Cases.</w:t>
      </w:r>
      <w:r>
        <w:t xml:space="preserve"> </w:t>
      </w:r>
      <w:r>
        <w:t xml:space="preserve">The cases are grouped by level (household, territory or city, nation) and by type of shock (climate, market, pandemic, policy and environmental change)</w:t>
      </w:r>
      <w:r>
        <w:t xml:space="preserve"> </w:t>
      </w:r>
      <w:r>
        <w:rPr>
          <w:iCs/>
          <w:i/>
        </w:rPr>
        <w:t xml:space="preserve">(Claude’s grouping, not from a source)</w:t>
      </w:r>
      <w:r>
        <w:t xml:space="preserve">. Viet Nam and ASEAN cases come first; the UK case is contested.</w:t>
      </w:r>
    </w:p>
    <w:tbl>
      <w:tblPr>
        <w:tblStyle w:val="Table"/>
        <w:tblW w:type="pct" w:w="5000"/>
        <w:tblLayout w:type="fixed"/>
        <w:tblLook w:firstRow="1" w:lastRow="0" w:firstColumn="0" w:lastColumn="0" w:noHBand="0" w:noVBand="0" w:val="0020"/>
        <w:jc w:val="start"/>
      </w:tblPr>
      <w:tblGrid>
        <w:gridCol w:w="1349"/>
        <w:gridCol w:w="1252"/>
        <w:gridCol w:w="1349"/>
        <w:gridCol w:w="1927"/>
        <w:gridCol w:w="2602"/>
        <w:gridCol w:w="1156"/>
      </w:tblGrid>
      <w:tr>
        <w:trPr>
          <w:tblHeader w:val="true"/>
        </w:trPr>
        <w:tc>
          <w:tcPr>
            <w:tcW w:type="dxa" w:w="1349"/>
          </w:tcPr>
          <w:p>
            <w:pPr>
              <w:pStyle w:val="Compact"/>
              <w:jc w:val="left"/>
            </w:pPr>
            <w:r>
              <w:rPr>
                <w:sz w:val="17"/>
              </w:rPr>
              <w:t xml:space="preserve">Case</w:t>
            </w:r>
          </w:p>
        </w:tc>
        <w:tc>
          <w:tcPr>
            <w:tcW w:type="dxa" w:w="1253"/>
          </w:tcPr>
          <w:p>
            <w:pPr>
              <w:pStyle w:val="Compact"/>
              <w:jc w:val="left"/>
            </w:pPr>
            <w:r>
              <w:rPr>
                <w:sz w:val="17"/>
              </w:rPr>
              <w:t xml:space="preserve">Where, when</w:t>
            </w:r>
          </w:p>
        </w:tc>
        <w:tc>
          <w:tcPr>
            <w:tcW w:type="dxa" w:w="1349"/>
          </w:tcPr>
          <w:p>
            <w:pPr>
              <w:pStyle w:val="Compact"/>
              <w:jc w:val="left"/>
            </w:pPr>
            <w:r>
              <w:rPr>
                <w:sz w:val="17"/>
              </w:rPr>
              <w:t xml:space="preserve">Type</w:t>
            </w:r>
          </w:p>
        </w:tc>
        <w:tc>
          <w:tcPr>
            <w:tcW w:type="dxa" w:w="1928"/>
          </w:tcPr>
          <w:p>
            <w:pPr>
              <w:pStyle w:val="Compact"/>
              <w:jc w:val="left"/>
            </w:pPr>
            <w:r>
              <w:rPr>
                <w:sz w:val="17"/>
              </w:rPr>
              <w:t xml:space="preserve">What was done</w:t>
            </w:r>
          </w:p>
        </w:tc>
        <w:tc>
          <w:tcPr>
            <w:tcW w:type="dxa" w:w="2602"/>
          </w:tcPr>
          <w:p>
            <w:pPr>
              <w:pStyle w:val="Compact"/>
              <w:jc w:val="left"/>
            </w:pPr>
            <w:r>
              <w:rPr>
                <w:sz w:val="17"/>
              </w:rPr>
              <w:t xml:space="preserve">Outcomes reported</w:t>
            </w:r>
          </w:p>
        </w:tc>
        <w:tc>
          <w:tcPr>
            <w:tcW w:type="dxa" w:w="1157"/>
          </w:tcPr>
          <w:p>
            <w:pPr>
              <w:pStyle w:val="Compact"/>
              <w:jc w:val="left"/>
            </w:pPr>
            <w:r>
              <w:rPr>
                <w:sz w:val="17"/>
              </w:rPr>
              <w:t xml:space="preserve">Source</w:t>
            </w:r>
          </w:p>
        </w:tc>
      </w:tr>
      <w:tr>
        <w:tc>
          <w:tcPr>
            <w:tcW w:type="dxa" w:w="1349"/>
          </w:tcPr>
          <w:p>
            <w:pPr>
              <w:pStyle w:val="Compact"/>
              <w:jc w:val="left"/>
            </w:pPr>
            <w:r>
              <w:rPr>
                <w:sz w:val="17"/>
              </w:rPr>
              <w:t xml:space="preserve">Coastal fishing households</w:t>
            </w:r>
          </w:p>
        </w:tc>
        <w:tc>
          <w:tcPr>
            <w:tcW w:type="dxa" w:w="1253"/>
          </w:tcPr>
          <w:p>
            <w:pPr>
              <w:pStyle w:val="Compact"/>
              <w:jc w:val="left"/>
            </w:pPr>
            <w:r>
              <w:rPr>
                <w:sz w:val="17"/>
              </w:rPr>
              <w:t xml:space="preserve">Viet Nam, with Fiji, Ghana and Sri Lanka; two-year panel</w:t>
            </w:r>
          </w:p>
        </w:tc>
        <w:tc>
          <w:tcPr>
            <w:tcW w:type="dxa" w:w="1349"/>
          </w:tcPr>
          <w:p>
            <w:pPr>
              <w:pStyle w:val="Compact"/>
              <w:jc w:val="left"/>
            </w:pPr>
            <w:r>
              <w:rPr>
                <w:sz w:val="17"/>
              </w:rPr>
              <w:t xml:space="preserve">Household; multiple shocks (weather, catch decline, price changes, illness)</w:t>
            </w:r>
          </w:p>
        </w:tc>
        <w:tc>
          <w:tcPr>
            <w:tcW w:type="dxa" w:w="1928"/>
          </w:tcPr>
          <w:p>
            <w:pPr>
              <w:pStyle w:val="Compact"/>
              <w:jc w:val="left"/>
            </w:pPr>
            <w:r>
              <w:rPr>
                <w:sz w:val="17"/>
              </w:rPr>
              <w:t xml:space="preserve">Surveys of household responses and recovery, testing assets, social capital and self-perception</w:t>
            </w:r>
          </w:p>
        </w:tc>
        <w:tc>
          <w:tcPr>
            <w:tcW w:type="dxa" w:w="2602"/>
          </w:tcPr>
          <w:p>
            <w:pPr>
              <w:pStyle w:val="Compact"/>
              <w:jc w:val="left"/>
            </w:pPr>
            <w:r>
              <w:rPr>
                <w:sz w:val="17"/>
              </w:rPr>
              <w:t xml:space="preserve">Wealth helped recovery, but within communities assets were not a systematic differentiator of responses; perceptions and social capital mattered</w:t>
            </w:r>
          </w:p>
        </w:tc>
        <w:tc>
          <w:tcPr>
            <w:tcW w:type="dxa" w:w="1157"/>
          </w:tcPr>
          <w:p>
            <w:pPr>
              <w:pStyle w:val="Compact"/>
              <w:jc w:val="left"/>
            </w:pPr>
            <w:r>
              <w:rPr>
                <w:sz w:val="17"/>
              </w:rPr>
              <w:t xml:space="preserve">Béné et al. (2016)</w:t>
            </w:r>
          </w:p>
        </w:tc>
      </w:tr>
      <w:tr>
        <w:tc>
          <w:tcPr>
            <w:tcW w:type="dxa" w:w="1349"/>
          </w:tcPr>
          <w:p>
            <w:pPr>
              <w:pStyle w:val="Compact"/>
              <w:jc w:val="left"/>
            </w:pPr>
            <w:r>
              <w:rPr>
                <w:sz w:val="17"/>
              </w:rPr>
              <w:t xml:space="preserve">Shrimp farmers and fishers</w:t>
            </w:r>
          </w:p>
        </w:tc>
        <w:tc>
          <w:tcPr>
            <w:tcW w:type="dxa" w:w="1253"/>
          </w:tcPr>
          <w:p>
            <w:pPr>
              <w:pStyle w:val="Compact"/>
              <w:jc w:val="left"/>
            </w:pPr>
            <w:r>
              <w:rPr>
                <w:sz w:val="17"/>
              </w:rPr>
              <w:t xml:space="preserve">Ca Mau, Mekong Delta, Viet Nam</w:t>
            </w:r>
          </w:p>
        </w:tc>
        <w:tc>
          <w:tcPr>
            <w:tcW w:type="dxa" w:w="1349"/>
          </w:tcPr>
          <w:p>
            <w:pPr>
              <w:pStyle w:val="Compact"/>
              <w:jc w:val="left"/>
            </w:pPr>
            <w:r>
              <w:rPr>
                <w:sz w:val="17"/>
              </w:rPr>
              <w:t xml:space="preserve">Territorial; policy and environmental change</w:t>
            </w:r>
          </w:p>
        </w:tc>
        <w:tc>
          <w:tcPr>
            <w:tcW w:type="dxa" w:w="1928"/>
          </w:tcPr>
          <w:p>
            <w:pPr>
              <w:pStyle w:val="Compact"/>
              <w:jc w:val="left"/>
            </w:pPr>
            <w:r>
              <w:rPr>
                <w:sz w:val="17"/>
              </w:rPr>
              <w:t xml:space="preserve">Integrated shrimp–mangrove and fisheries policies meant to raise social–ecological resilience</w:t>
            </w:r>
          </w:p>
        </w:tc>
        <w:tc>
          <w:tcPr>
            <w:tcW w:type="dxa" w:w="2602"/>
          </w:tcPr>
          <w:p>
            <w:pPr>
              <w:pStyle w:val="Compact"/>
              <w:jc w:val="left"/>
            </w:pPr>
            <w:r>
              <w:rPr>
                <w:sz w:val="17"/>
              </w:rPr>
              <w:t xml:space="preserve">The policies</w:t>
            </w:r>
            <w:r>
              <w:rPr>
                <w:sz w:val="17"/>
              </w:rPr>
              <w:t xml:space="preserve"> </w:t>
            </w:r>
            <w:r>
              <w:rPr>
                <w:sz w:val="17"/>
              </w:rPr>
              <w:t xml:space="preserve">“</w:t>
            </w:r>
            <w:r>
              <w:rPr>
                <w:sz w:val="17"/>
              </w:rPr>
              <w:t xml:space="preserve">do not necessarily stimulate an increase of the social and economic resilience</w:t>
            </w:r>
            <w:r>
              <w:rPr>
                <w:sz w:val="17"/>
              </w:rPr>
              <w:t xml:space="preserve">”</w:t>
            </w:r>
            <w:r>
              <w:rPr>
                <w:sz w:val="17"/>
              </w:rPr>
              <w:t xml:space="preserve"> </w:t>
            </w:r>
            <w:r>
              <w:rPr>
                <w:sz w:val="17"/>
              </w:rPr>
              <w:t xml:space="preserve">of households, which may in turn weaken the wider system (contested)</w:t>
            </w:r>
          </w:p>
        </w:tc>
        <w:tc>
          <w:tcPr>
            <w:tcW w:type="dxa" w:w="1157"/>
          </w:tcPr>
          <w:p>
            <w:pPr>
              <w:pStyle w:val="Compact"/>
              <w:jc w:val="left"/>
            </w:pPr>
            <w:r>
              <w:rPr>
                <w:sz w:val="17"/>
              </w:rPr>
              <w:t xml:space="preserve">Tran (2012)</w:t>
            </w:r>
          </w:p>
        </w:tc>
      </w:tr>
      <w:tr>
        <w:tc>
          <w:tcPr>
            <w:tcW w:type="dxa" w:w="1349"/>
          </w:tcPr>
          <w:p>
            <w:pPr>
              <w:pStyle w:val="Compact"/>
              <w:jc w:val="left"/>
            </w:pPr>
            <w:r>
              <w:rPr>
                <w:sz w:val="17"/>
              </w:rPr>
              <w:t xml:space="preserve">Food price and income shocks</w:t>
            </w:r>
          </w:p>
        </w:tc>
        <w:tc>
          <w:tcPr>
            <w:tcW w:type="dxa" w:w="1253"/>
          </w:tcPr>
          <w:p>
            <w:pPr>
              <w:pStyle w:val="Compact"/>
              <w:jc w:val="left"/>
            </w:pPr>
            <w:r>
              <w:rPr>
                <w:sz w:val="17"/>
              </w:rPr>
              <w:t xml:space="preserve">Viet Nam, national household survey data</w:t>
            </w:r>
          </w:p>
        </w:tc>
        <w:tc>
          <w:tcPr>
            <w:tcW w:type="dxa" w:w="1349"/>
          </w:tcPr>
          <w:p>
            <w:pPr>
              <w:pStyle w:val="Compact"/>
              <w:jc w:val="left"/>
            </w:pPr>
            <w:r>
              <w:rPr>
                <w:sz w:val="17"/>
              </w:rPr>
              <w:t xml:space="preserve">National and household; market shock</w:t>
            </w:r>
          </w:p>
        </w:tc>
        <w:tc>
          <w:tcPr>
            <w:tcW w:type="dxa" w:w="1928"/>
          </w:tcPr>
          <w:p>
            <w:pPr>
              <w:pStyle w:val="Compact"/>
              <w:jc w:val="left"/>
            </w:pPr>
            <w:r>
              <w:rPr>
                <w:sz w:val="17"/>
              </w:rPr>
              <w:t xml:space="preserve">Demand system used to simulate a 10% fall in income and a 30% rise in rice prices</w:t>
            </w:r>
          </w:p>
        </w:tc>
        <w:tc>
          <w:tcPr>
            <w:tcW w:type="dxa" w:w="2602"/>
          </w:tcPr>
          <w:p>
            <w:pPr>
              <w:pStyle w:val="Compact"/>
              <w:jc w:val="left"/>
            </w:pPr>
            <w:r>
              <w:rPr>
                <w:sz w:val="17"/>
              </w:rPr>
              <w:t xml:space="preserve">Households shift spending to rice at the expense of other foods;</w:t>
            </w:r>
            <w:r>
              <w:rPr>
                <w:sz w:val="17"/>
              </w:rPr>
              <w:t xml:space="preserve"> </w:t>
            </w:r>
            <w:r>
              <w:rPr>
                <w:sz w:val="17"/>
              </w:rPr>
              <w:t xml:space="preserve">“</w:t>
            </w:r>
            <w:r>
              <w:rPr>
                <w:sz w:val="17"/>
              </w:rPr>
              <w:t xml:space="preserve">Low-income households face a higher risk of undernourishment</w:t>
            </w:r>
            <w:r>
              <w:rPr>
                <w:sz w:val="17"/>
              </w:rPr>
              <w:t xml:space="preserve">”</w:t>
            </w:r>
            <w:r>
              <w:rPr>
                <w:sz w:val="17"/>
              </w:rPr>
              <w:t xml:space="preserve">; case for safety nets</w:t>
            </w:r>
          </w:p>
        </w:tc>
        <w:tc>
          <w:tcPr>
            <w:tcW w:type="dxa" w:w="1157"/>
          </w:tcPr>
          <w:p>
            <w:pPr>
              <w:pStyle w:val="Compact"/>
              <w:jc w:val="left"/>
            </w:pPr>
            <w:r>
              <w:rPr>
                <w:sz w:val="17"/>
              </w:rPr>
              <w:t xml:space="preserve">Hoang (2018)</w:t>
            </w:r>
          </w:p>
        </w:tc>
      </w:tr>
      <w:tr>
        <w:tc>
          <w:tcPr>
            <w:tcW w:type="dxa" w:w="1349"/>
          </w:tcPr>
          <w:p>
            <w:pPr>
              <w:pStyle w:val="Compact"/>
              <w:jc w:val="left"/>
            </w:pPr>
            <w:r>
              <w:rPr>
                <w:sz w:val="17"/>
              </w:rPr>
              <w:t xml:space="preserve">ENSO-related drought</w:t>
            </w:r>
          </w:p>
        </w:tc>
        <w:tc>
          <w:tcPr>
            <w:tcW w:type="dxa" w:w="1253"/>
          </w:tcPr>
          <w:p>
            <w:pPr>
              <w:pStyle w:val="Compact"/>
              <w:jc w:val="left"/>
            </w:pPr>
            <w:r>
              <w:rPr>
                <w:sz w:val="17"/>
              </w:rPr>
              <w:t xml:space="preserve">Central Sulawesi, Indonesia</w:t>
            </w:r>
          </w:p>
        </w:tc>
        <w:tc>
          <w:tcPr>
            <w:tcW w:type="dxa" w:w="1349"/>
          </w:tcPr>
          <w:p>
            <w:pPr>
              <w:pStyle w:val="Compact"/>
              <w:jc w:val="left"/>
            </w:pPr>
            <w:r>
              <w:rPr>
                <w:sz w:val="17"/>
              </w:rPr>
              <w:t xml:space="preserve">Household; climate shock</w:t>
            </w:r>
          </w:p>
        </w:tc>
        <w:tc>
          <w:tcPr>
            <w:tcW w:type="dxa" w:w="1928"/>
          </w:tcPr>
          <w:p>
            <w:pPr>
              <w:pStyle w:val="Compact"/>
              <w:jc w:val="left"/>
            </w:pPr>
            <w:r>
              <w:rPr>
                <w:sz w:val="17"/>
              </w:rPr>
              <w:t xml:space="preserve">Drought-resilience index built from consumption data; asset-based analysis of its determinants</w:t>
            </w:r>
          </w:p>
        </w:tc>
        <w:tc>
          <w:tcPr>
            <w:tcW w:type="dxa" w:w="2602"/>
          </w:tcPr>
          <w:p>
            <w:pPr>
              <w:pStyle w:val="Compact"/>
              <w:jc w:val="left"/>
            </w:pPr>
            <w:r>
              <w:rPr>
                <w:sz w:val="17"/>
              </w:rPr>
              <w:t xml:space="preserve">Most drought-affected households cut food spending; resilience was</w:t>
            </w:r>
            <w:r>
              <w:rPr>
                <w:sz w:val="17"/>
              </w:rPr>
              <w:t xml:space="preserve"> </w:t>
            </w:r>
            <w:r>
              <w:rPr>
                <w:sz w:val="17"/>
              </w:rPr>
              <w:t xml:space="preserve">“</w:t>
            </w:r>
            <w:r>
              <w:rPr>
                <w:sz w:val="17"/>
              </w:rPr>
              <w:t xml:space="preserve">strengthened by the possession of liquid assets, access to credit</w:t>
            </w:r>
            <w:r>
              <w:rPr>
                <w:sz w:val="17"/>
              </w:rPr>
              <w:t xml:space="preserve">”</w:t>
            </w:r>
            <w:r>
              <w:rPr>
                <w:sz w:val="17"/>
              </w:rPr>
              <w:t xml:space="preserve"> </w:t>
            </w:r>
            <w:r>
              <w:rPr>
                <w:sz w:val="17"/>
              </w:rPr>
              <w:t xml:space="preserve">and technical efficiency</w:t>
            </w:r>
          </w:p>
        </w:tc>
        <w:tc>
          <w:tcPr>
            <w:tcW w:type="dxa" w:w="1157"/>
          </w:tcPr>
          <w:p>
            <w:pPr>
              <w:pStyle w:val="Compact"/>
              <w:jc w:val="left"/>
            </w:pPr>
            <w:r>
              <w:rPr>
                <w:sz w:val="17"/>
              </w:rPr>
              <w:t xml:space="preserve">Keil et al. (2008)</w:t>
            </w:r>
          </w:p>
        </w:tc>
      </w:tr>
      <w:tr>
        <w:tc>
          <w:tcPr>
            <w:tcW w:type="dxa" w:w="1349"/>
          </w:tcPr>
          <w:p>
            <w:pPr>
              <w:pStyle w:val="Compact"/>
              <w:jc w:val="left"/>
            </w:pPr>
            <w:r>
              <w:rPr>
                <w:sz w:val="17"/>
              </w:rPr>
              <w:t xml:space="preserve">Soils, Food and Healthy Communities</w:t>
            </w:r>
          </w:p>
        </w:tc>
        <w:tc>
          <w:tcPr>
            <w:tcW w:type="dxa" w:w="1253"/>
          </w:tcPr>
          <w:p>
            <w:pPr>
              <w:pStyle w:val="Compact"/>
              <w:jc w:val="left"/>
            </w:pPr>
            <w:r>
              <w:rPr>
                <w:sz w:val="17"/>
              </w:rPr>
              <w:t xml:space="preserve">Ekwendeni, Malawi</w:t>
            </w:r>
          </w:p>
        </w:tc>
        <w:tc>
          <w:tcPr>
            <w:tcW w:type="dxa" w:w="1349"/>
          </w:tcPr>
          <w:p>
            <w:pPr>
              <w:pStyle w:val="Compact"/>
              <w:jc w:val="left"/>
            </w:pPr>
            <w:r>
              <w:rPr>
                <w:sz w:val="17"/>
              </w:rPr>
              <w:t xml:space="preserve">Territorial; production and nutrition</w:t>
            </w:r>
          </w:p>
        </w:tc>
        <w:tc>
          <w:tcPr>
            <w:tcW w:type="dxa" w:w="1928"/>
          </w:tcPr>
          <w:p>
            <w:pPr>
              <w:pStyle w:val="Compact"/>
              <w:jc w:val="left"/>
            </w:pPr>
            <w:r>
              <w:rPr>
                <w:sz w:val="17"/>
              </w:rPr>
              <w:t xml:space="preserve">Farmer-led legume intercropping combined with gender and nutrition education, in contrast to the national input subsidy</w:t>
            </w:r>
          </w:p>
        </w:tc>
        <w:tc>
          <w:tcPr>
            <w:tcW w:type="dxa" w:w="2602"/>
          </w:tcPr>
          <w:p>
            <w:pPr>
              <w:pStyle w:val="Compact"/>
              <w:jc w:val="left"/>
            </w:pPr>
            <w:r>
              <w:rPr>
                <w:sz w:val="17"/>
              </w:rPr>
              <w:t xml:space="preserve">The project</w:t>
            </w:r>
            <w:r>
              <w:rPr>
                <w:sz w:val="17"/>
              </w:rPr>
              <w:t xml:space="preserve"> </w:t>
            </w:r>
            <w:r>
              <w:rPr>
                <w:sz w:val="17"/>
              </w:rPr>
              <w:t xml:space="preserve">“</w:t>
            </w:r>
            <w:r>
              <w:rPr>
                <w:sz w:val="17"/>
              </w:rPr>
              <w:t xml:space="preserve">grew to a network of 8,000 farmers</w:t>
            </w:r>
            <w:r>
              <w:rPr>
                <w:sz w:val="17"/>
              </w:rPr>
              <w:t xml:space="preserve">”</w:t>
            </w:r>
            <w:r>
              <w:rPr>
                <w:sz w:val="17"/>
              </w:rPr>
              <w:t xml:space="preserve"> </w:t>
            </w:r>
            <w:r>
              <w:rPr>
                <w:sz w:val="17"/>
              </w:rPr>
              <w:t xml:space="preserve">with better soils and diets; the subsidy raised maize output but</w:t>
            </w:r>
            <w:r>
              <w:rPr>
                <w:sz w:val="17"/>
              </w:rPr>
              <w:t xml:space="preserve"> </w:t>
            </w:r>
            <w:r>
              <w:rPr>
                <w:sz w:val="17"/>
              </w:rPr>
              <w:t xml:space="preserve">“</w:t>
            </w:r>
            <w:r>
              <w:rPr>
                <w:sz w:val="17"/>
              </w:rPr>
              <w:t xml:space="preserve">failed to address severe food insecurity and child malnutrition</w:t>
            </w:r>
            <w:r>
              <w:rPr>
                <w:sz w:val="17"/>
              </w:rPr>
              <w:t xml:space="preserve">”</w:t>
            </w:r>
          </w:p>
        </w:tc>
        <w:tc>
          <w:tcPr>
            <w:tcW w:type="dxa" w:w="1157"/>
          </w:tcPr>
          <w:p>
            <w:pPr>
              <w:pStyle w:val="Compact"/>
              <w:jc w:val="left"/>
            </w:pPr>
            <w:r>
              <w:rPr>
                <w:sz w:val="17"/>
              </w:rPr>
              <w:t xml:space="preserve">Schipanski et al. (2016)</w:t>
            </w:r>
          </w:p>
        </w:tc>
      </w:tr>
      <w:tr>
        <w:tc>
          <w:tcPr>
            <w:tcW w:type="dxa" w:w="1349"/>
          </w:tcPr>
          <w:p>
            <w:pPr>
              <w:pStyle w:val="Compact"/>
              <w:jc w:val="left"/>
            </w:pPr>
            <w:r>
              <w:rPr>
                <w:sz w:val="17"/>
              </w:rPr>
              <w:t xml:space="preserve">Regionally nested urban food system</w:t>
            </w:r>
          </w:p>
        </w:tc>
        <w:tc>
          <w:tcPr>
            <w:tcW w:type="dxa" w:w="1253"/>
          </w:tcPr>
          <w:p>
            <w:pPr>
              <w:pStyle w:val="Compact"/>
              <w:jc w:val="left"/>
            </w:pPr>
            <w:r>
              <w:rPr>
                <w:sz w:val="17"/>
              </w:rPr>
              <w:t xml:space="preserve">Belo Horizonte, Brazil</w:t>
            </w:r>
          </w:p>
        </w:tc>
        <w:tc>
          <w:tcPr>
            <w:tcW w:type="dxa" w:w="1349"/>
          </w:tcPr>
          <w:p>
            <w:pPr>
              <w:pStyle w:val="Compact"/>
              <w:jc w:val="left"/>
            </w:pPr>
            <w:r>
              <w:rPr>
                <w:sz w:val="17"/>
              </w:rPr>
              <w:t xml:space="preserve">City; food price volatility</w:t>
            </w:r>
          </w:p>
        </w:tc>
        <w:tc>
          <w:tcPr>
            <w:tcW w:type="dxa" w:w="1928"/>
          </w:tcPr>
          <w:p>
            <w:pPr>
              <w:pStyle w:val="Compact"/>
              <w:jc w:val="left"/>
            </w:pPr>
            <w:r>
              <w:rPr>
                <w:sz w:val="17"/>
              </w:rPr>
              <w:t xml:space="preserve">City food security secretariat linked urban consumers with regional farmers</w:t>
            </w:r>
          </w:p>
        </w:tc>
        <w:tc>
          <w:tcPr>
            <w:tcW w:type="dxa" w:w="2602"/>
          </w:tcPr>
          <w:p>
            <w:pPr>
              <w:pStyle w:val="Compact"/>
              <w:jc w:val="left"/>
            </w:pPr>
            <w:r>
              <w:rPr>
                <w:sz w:val="17"/>
              </w:rPr>
              <w:t xml:space="preserve">Regional sourcing</w:t>
            </w:r>
            <w:r>
              <w:rPr>
                <w:sz w:val="17"/>
              </w:rPr>
              <w:t xml:space="preserve"> </w:t>
            </w:r>
            <w:r>
              <w:rPr>
                <w:sz w:val="17"/>
              </w:rPr>
              <w:t xml:space="preserve">“</w:t>
            </w:r>
            <w:r>
              <w:rPr>
                <w:sz w:val="17"/>
              </w:rPr>
              <w:t xml:space="preserve">stabilized rural household incomes and slowed rural to urban migration</w:t>
            </w:r>
            <w:r>
              <w:rPr>
                <w:sz w:val="17"/>
              </w:rPr>
              <w:t xml:space="preserve">”</w:t>
            </w:r>
            <w:r>
              <w:rPr>
                <w:sz w:val="17"/>
              </w:rPr>
              <w:t xml:space="preserve"> </w:t>
            </w:r>
            <w:r>
              <w:rPr>
                <w:sz w:val="17"/>
              </w:rPr>
              <w:t xml:space="preserve">and improved food availability in the city</w:t>
            </w:r>
          </w:p>
        </w:tc>
        <w:tc>
          <w:tcPr>
            <w:tcW w:type="dxa" w:w="1157"/>
          </w:tcPr>
          <w:p>
            <w:pPr>
              <w:pStyle w:val="Compact"/>
              <w:jc w:val="left"/>
            </w:pPr>
            <w:r>
              <w:rPr>
                <w:sz w:val="17"/>
              </w:rPr>
              <w:t xml:space="preserve">Schipanski et al. (2016)</w:t>
            </w:r>
          </w:p>
        </w:tc>
      </w:tr>
      <w:tr>
        <w:tc>
          <w:tcPr>
            <w:tcW w:type="dxa" w:w="1349"/>
          </w:tcPr>
          <w:p>
            <w:pPr>
              <w:pStyle w:val="Compact"/>
              <w:jc w:val="left"/>
            </w:pPr>
            <w:r>
              <w:rPr>
                <w:sz w:val="17"/>
              </w:rPr>
              <w:t xml:space="preserve">UK food system under COVID-19</w:t>
            </w:r>
          </w:p>
        </w:tc>
        <w:tc>
          <w:tcPr>
            <w:tcW w:type="dxa" w:w="1253"/>
          </w:tcPr>
          <w:p>
            <w:pPr>
              <w:pStyle w:val="Compact"/>
              <w:jc w:val="left"/>
            </w:pPr>
            <w:r>
              <w:rPr>
                <w:sz w:val="17"/>
              </w:rPr>
              <w:t xml:space="preserve">United Kingdom, 2020</w:t>
            </w:r>
          </w:p>
        </w:tc>
        <w:tc>
          <w:tcPr>
            <w:tcW w:type="dxa" w:w="1349"/>
          </w:tcPr>
          <w:p>
            <w:pPr>
              <w:pStyle w:val="Compact"/>
              <w:jc w:val="left"/>
            </w:pPr>
            <w:r>
              <w:rPr>
                <w:sz w:val="17"/>
              </w:rPr>
              <w:t xml:space="preserve">National; pandemic (contested)</w:t>
            </w:r>
          </w:p>
        </w:tc>
        <w:tc>
          <w:tcPr>
            <w:tcW w:type="dxa" w:w="1928"/>
          </w:tcPr>
          <w:p>
            <w:pPr>
              <w:pStyle w:val="Compact"/>
              <w:jc w:val="left"/>
            </w:pPr>
            <w:r>
              <w:rPr>
                <w:sz w:val="17"/>
              </w:rPr>
              <w:t xml:space="preserve">Mainstream actors relied on just-in-time supply chains; alternative food networks promoted local food</w:t>
            </w:r>
          </w:p>
        </w:tc>
        <w:tc>
          <w:tcPr>
            <w:tcW w:type="dxa" w:w="2602"/>
          </w:tcPr>
          <w:p>
            <w:pPr>
              <w:pStyle w:val="Compact"/>
              <w:jc w:val="left"/>
            </w:pPr>
            <w:r>
              <w:rPr>
                <w:sz w:val="17"/>
              </w:rPr>
              <w:t xml:space="preserve">Moran et al. saw</w:t>
            </w:r>
            <w:r>
              <w:rPr>
                <w:sz w:val="17"/>
              </w:rPr>
              <w:t xml:space="preserve"> </w:t>
            </w:r>
            <w:r>
              <w:rPr>
                <w:sz w:val="17"/>
              </w:rPr>
              <w:t xml:space="preserve">“</w:t>
            </w:r>
            <w:r>
              <w:rPr>
                <w:sz w:val="17"/>
              </w:rPr>
              <w:t xml:space="preserve">remarkable adaptive capacity</w:t>
            </w:r>
            <w:r>
              <w:rPr>
                <w:sz w:val="17"/>
              </w:rPr>
              <w:t xml:space="preserve">”</w:t>
            </w:r>
            <w:r>
              <w:rPr>
                <w:sz w:val="17"/>
              </w:rPr>
              <w:t xml:space="preserve">; Black et al. found that</w:t>
            </w:r>
            <w:r>
              <w:rPr>
                <w:sz w:val="17"/>
              </w:rPr>
              <w:t xml:space="preserve"> </w:t>
            </w:r>
            <w:r>
              <w:rPr>
                <w:sz w:val="17"/>
              </w:rPr>
              <w:t xml:space="preserve">“</w:t>
            </w:r>
            <w:r>
              <w:rPr>
                <w:sz w:val="17"/>
              </w:rPr>
              <w:t xml:space="preserve">AFNs actors perceive the UK FS as not resilient</w:t>
            </w:r>
            <w:r>
              <w:rPr>
                <w:sz w:val="17"/>
              </w:rPr>
              <w:t xml:space="preserve">”</w:t>
            </w:r>
            <w:r>
              <w:rPr>
                <w:sz w:val="17"/>
              </w:rPr>
              <w:t xml:space="preserve">, while mainstream actors saw it as resilient</w:t>
            </w:r>
          </w:p>
        </w:tc>
        <w:tc>
          <w:tcPr>
            <w:tcW w:type="dxa" w:w="1157"/>
          </w:tcPr>
          <w:p>
            <w:pPr>
              <w:pStyle w:val="Compact"/>
              <w:jc w:val="left"/>
            </w:pPr>
            <w:r>
              <w:rPr>
                <w:sz w:val="17"/>
              </w:rPr>
              <w:t xml:space="preserve">Moran et al. (2020); Black et al. (2024)</w:t>
            </w:r>
          </w:p>
        </w:tc>
      </w:tr>
      <w:tr>
        <w:tc>
          <w:tcPr>
            <w:tcW w:type="dxa" w:w="1349"/>
          </w:tcPr>
          <w:p>
            <w:pPr>
              <w:pStyle w:val="Compact"/>
              <w:jc w:val="left"/>
            </w:pPr>
            <w:r>
              <w:rPr>
                <w:sz w:val="17"/>
              </w:rPr>
              <w:t xml:space="preserve">National food systems</w:t>
            </w:r>
          </w:p>
        </w:tc>
        <w:tc>
          <w:tcPr>
            <w:tcW w:type="dxa" w:w="1253"/>
          </w:tcPr>
          <w:p>
            <w:pPr>
              <w:pStyle w:val="Compact"/>
              <w:jc w:val="left"/>
            </w:pPr>
            <w:r>
              <w:rPr>
                <w:sz w:val="17"/>
              </w:rPr>
              <w:t xml:space="preserve">191 countries, 2000–2022</w:t>
            </w:r>
          </w:p>
        </w:tc>
        <w:tc>
          <w:tcPr>
            <w:tcW w:type="dxa" w:w="1349"/>
          </w:tcPr>
          <w:p>
            <w:pPr>
              <w:pStyle w:val="Compact"/>
              <w:jc w:val="left"/>
            </w:pPr>
            <w:r>
              <w:rPr>
                <w:sz w:val="17"/>
              </w:rPr>
              <w:t xml:space="preserve">National; geophysical, weather, climate and biological shocks</w:t>
            </w:r>
          </w:p>
        </w:tc>
        <w:tc>
          <w:tcPr>
            <w:tcW w:type="dxa" w:w="1928"/>
          </w:tcPr>
          <w:p>
            <w:pPr>
              <w:pStyle w:val="Compact"/>
              <w:jc w:val="left"/>
            </w:pPr>
            <w:r>
              <w:rPr>
                <w:sz w:val="17"/>
              </w:rPr>
              <w:t xml:space="preserve">Panel econometrics linking shock severity, governance, economy, social capital and food supply to undernourishment</w:t>
            </w:r>
          </w:p>
        </w:tc>
        <w:tc>
          <w:tcPr>
            <w:tcW w:type="dxa" w:w="2602"/>
          </w:tcPr>
          <w:p>
            <w:pPr>
              <w:pStyle w:val="Compact"/>
              <w:jc w:val="left"/>
            </w:pPr>
            <w:r>
              <w:rPr>
                <w:sz w:val="17"/>
              </w:rPr>
              <w:t xml:space="preserve">Supply redundancy, government effectiveness and GDP per capita buffered undernourishment; price volatility worsened it</w:t>
            </w:r>
          </w:p>
        </w:tc>
        <w:tc>
          <w:tcPr>
            <w:tcW w:type="dxa" w:w="1157"/>
          </w:tcPr>
          <w:p>
            <w:pPr>
              <w:pStyle w:val="Compact"/>
              <w:jc w:val="left"/>
            </w:pPr>
            <w:r>
              <w:rPr>
                <w:sz w:val="17"/>
              </w:rPr>
              <w:t xml:space="preserve">Béné et al. (2026)</w:t>
            </w:r>
          </w:p>
        </w:tc>
      </w:tr>
    </w:tbl>
    <w:p>
      <w:pPr>
        <w:pStyle w:val="BodyText"/>
      </w:pPr>
      <w:r>
        <w:rPr>
          <w:bCs/>
          <w:b/>
        </w:rPr>
        <w:t xml:space="preserve">Cross-case lessons.</w:t>
      </w:r>
      <w:r>
        <w:t xml:space="preserve"> </w:t>
      </w:r>
      <w:r>
        <w:t xml:space="preserve">Three patterns recur. First, assets and finance help households recover (Keil et al., 2008; Béné et al., 2016), but they do not explain all differences: perceptions, social capital and fair access matter too. Second, interventions aimed at one level can weaken resilience at another. Ca Mau’s resource policies did not raise household resilience (Tran, 2012), and Malawi’s input subsidy raised maize output without improving nutrition (Schipanski et al., 2016). Third, at city and national level, diverse supply and capable public institutions are the strongest buffers (Béné et al., 2026; Schipanski et al., 2016). The UK debate shows that whether a food system</w:t>
      </w:r>
      <w:r>
        <w:t xml:space="preserve"> </w:t>
      </w:r>
      <w:r>
        <w:t xml:space="preserve">“</w:t>
      </w:r>
      <w:r>
        <w:t xml:space="preserve">is resilient</w:t>
      </w:r>
      <w:r>
        <w:t xml:space="preserve">”</w:t>
      </w:r>
      <w:r>
        <w:t xml:space="preserve"> </w:t>
      </w:r>
      <w:r>
        <w:t xml:space="preserve">depends on who is asked and which function they value. The cases say little about traders and processors, about transformation, or about recovery over many years. In Viet Nam, the evidence found is household- or sector-level; no study in the library assesses the resilience of a whole Vietnamese food system.</w:t>
      </w:r>
    </w:p>
    <w:bookmarkEnd w:id="23"/>
    <w:bookmarkStart w:id="24" w:name="own-works"/>
    <w:p>
      <w:pPr>
        <w:pStyle w:val="Heading2"/>
      </w:pPr>
      <w:r>
        <w:t xml:space="preserve">Own works</w:t>
      </w:r>
    </w:p>
    <w:p>
      <w:pPr>
        <w:numPr>
          <w:ilvl w:val="0"/>
          <w:numId w:val="1001"/>
        </w:numPr>
        <w:pStyle w:val="Compact"/>
      </w:pPr>
      <w:r>
        <w:t xml:space="preserve">Tran, H., Nguyen, Q., &amp; Kervyn, M. (2017). Household social vulnerability to natural hazards in the coastal Tran Van Thoi District, Ca Mau Province, Mekong Delta, Vietnam.</w:t>
      </w:r>
      <w:r>
        <w:t xml:space="preserve"> </w:t>
      </w:r>
      <w:r>
        <w:rPr>
          <w:iCs/>
          <w:i/>
        </w:rPr>
        <w:t xml:space="preserve">Journal of Coastal Conservation, 21</w:t>
      </w:r>
      <w:r>
        <w:t xml:space="preserve">(4), 489–503. https://doi.org/10.1007/s11852-017-0522-8</w:t>
      </w:r>
    </w:p>
    <w:bookmarkEnd w:id="24"/>
    <w:bookmarkStart w:id="25" w:name="comparison-with-my-first-take"/>
    <w:p>
      <w:pPr>
        <w:pStyle w:val="Heading2"/>
      </w:pPr>
      <w:r>
        <w:t xml:space="preserve">Comparison with my first take</w:t>
      </w:r>
    </w:p>
    <w:p>
      <w:pPr>
        <w:numPr>
          <w:ilvl w:val="0"/>
          <w:numId w:val="1002"/>
        </w:numPr>
        <w:pStyle w:val="Compact"/>
      </w:pPr>
      <w:r>
        <w:rPr>
          <w:bCs/>
          <w:b/>
        </w:rPr>
        <w:t xml:space="preserve">Agrees.</w:t>
      </w:r>
      <w:r>
        <w:t xml:space="preserve"> </w:t>
      </w:r>
      <w:r>
        <w:t xml:space="preserve">You build resilience from resistance, adaptive capacity and recovery capacity. This matches Tendall et al.’s (2015) components (robustness, redundancy, recovery and learning) and the HLPE’s (2025) list of resisting, absorbing, adapting to, recovering from and preventing shocks.</w:t>
      </w:r>
    </w:p>
    <w:p>
      <w:pPr>
        <w:numPr>
          <w:ilvl w:val="0"/>
          <w:numId w:val="1002"/>
        </w:numPr>
        <w:pStyle w:val="Compact"/>
      </w:pPr>
      <w:r>
        <w:rPr>
          <w:bCs/>
          <w:b/>
        </w:rPr>
        <w:t xml:space="preserve">Extends.</w:t>
      </w:r>
      <w:r>
        <w:t xml:space="preserve"> </w:t>
      </w:r>
      <w:r>
        <w:t xml:space="preserve">You judge resilience by its outcomes (nutrition, health, socio-economic). Béné et al. (2023) make this measurable: actors’ capacities are judged by food security after a shock, and Béné et al. (2026) measure it as decoupling food insecurity from shock severity. The literature also adds transformability (Walker et al., 2004) and prevention and learning (Tendall et al., 2015), which your definition leaves implicit.</w:t>
      </w:r>
    </w:p>
    <w:p>
      <w:pPr>
        <w:numPr>
          <w:ilvl w:val="0"/>
          <w:numId w:val="1002"/>
        </w:numPr>
        <w:pStyle w:val="Compact"/>
      </w:pPr>
      <w:r>
        <w:rPr>
          <w:bCs/>
          <w:b/>
        </w:rPr>
        <w:t xml:space="preserve">Challenges.</w:t>
      </w:r>
      <w:r>
        <w:t xml:space="preserve"> </w:t>
      </w:r>
      <w:r>
        <w:t xml:space="preserve">Your definition aims at the</w:t>
      </w:r>
      <w:r>
        <w:t xml:space="preserve"> </w:t>
      </w:r>
      <w:r>
        <w:t xml:space="preserve">“</w:t>
      </w:r>
      <w:r>
        <w:t xml:space="preserve">ability to recover in long term</w:t>
      </w:r>
      <w:r>
        <w:t xml:space="preserve">”</w:t>
      </w:r>
      <w:r>
        <w:t xml:space="preserve">, which assumes that the pre-shock system is worth recovering. The HLPE (2025) and Anderson et al. (2026) argue that bouncing back can reinforce the structures that created vulnerability, and critics ask whose recovery counts (Béné et al., 2012; Rotz &amp; Fraser, 2018).</w:t>
      </w:r>
    </w:p>
    <w:bookmarkEnd w:id="25"/>
    <w:bookmarkStart w:id="26" w:name="key-sources"/>
    <w:p>
      <w:pPr>
        <w:pStyle w:val="Heading2"/>
      </w:pPr>
      <w:r>
        <w:t xml:space="preserve">Key sources</w:t>
      </w:r>
    </w:p>
    <w:p>
      <w:pPr>
        <w:numPr>
          <w:ilvl w:val="0"/>
          <w:numId w:val="1003"/>
        </w:numPr>
        <w:pStyle w:val="Compact"/>
      </w:pPr>
      <w:r>
        <w:t xml:space="preserve">Anderson, C. R., Ferrando, T., Blay-Palmer, A., Espinosa-García, F. J., Cabral, L., Termine, P., Wilkes, J., Soma, T., Bhalla, G., Madzorera, I., Antwi-Agyei, P., &amp; Zurek, M. (2026). Time for a vision exam: Diagnosing problems in the pursuit of equitably transformative resilience in food systems.</w:t>
      </w:r>
      <w:r>
        <w:t xml:space="preserve"> </w:t>
      </w:r>
      <w:r>
        <w:rPr>
          <w:iCs/>
          <w:i/>
        </w:rPr>
        <w:t xml:space="preserve">Agroecology and Sustainable Food Systems, 50</w:t>
      </w:r>
      <w:r>
        <w:t xml:space="preserve">(3), 457–476. https://doi.org/10.1080/21683565.2025.2588252 — recent · distinct perspective</w:t>
      </w:r>
    </w:p>
    <w:p>
      <w:pPr>
        <w:numPr>
          <w:ilvl w:val="0"/>
          <w:numId w:val="1003"/>
        </w:numPr>
        <w:pStyle w:val="Compact"/>
      </w:pPr>
      <w:r>
        <w:t xml:space="preserve">Béné, C. (2020). Resilience of local food systems and links to food security – A review of some important concepts in the context of COVID-19 and other shocks.</w:t>
      </w:r>
      <w:r>
        <w:t xml:space="preserve"> </w:t>
      </w:r>
      <w:r>
        <w:rPr>
          <w:iCs/>
          <w:i/>
        </w:rPr>
        <w:t xml:space="preserve">Food Security, 12</w:t>
      </w:r>
      <w:r>
        <w:t xml:space="preserve">(4), 805–822. https://doi.org/10.1007/s12571-020-01076-1 — review · highly cited</w:t>
      </w:r>
    </w:p>
    <w:p>
      <w:pPr>
        <w:numPr>
          <w:ilvl w:val="0"/>
          <w:numId w:val="1003"/>
        </w:numPr>
        <w:pStyle w:val="Compact"/>
      </w:pPr>
      <w:r>
        <w:t xml:space="preserve">Béné, C., Al-Hassan, R. M., Amarasinghe, O., Fong, P., Ocran, J., Onumah, E., Ratuniata, R., Tuyen, T. V., McGregor, J. A., &amp; Mills, D. J. (2016). Is resilience socially constructed? Empirical evidence from Fiji, Ghana, Sri Lanka, and Vietnam.</w:t>
      </w:r>
      <w:r>
        <w:t xml:space="preserve"> </w:t>
      </w:r>
      <w:r>
        <w:rPr>
          <w:iCs/>
          <w:i/>
        </w:rPr>
        <w:t xml:space="preserve">Global Environmental Change, 38</w:t>
      </w:r>
      <w:r>
        <w:t xml:space="preserve">, 153–170. https://doi.org/10.1016/j.gloenvcha.2016.03.005 — Viet Nam/ASEAN · case · distinct perspective</w:t>
      </w:r>
    </w:p>
    <w:p>
      <w:pPr>
        <w:numPr>
          <w:ilvl w:val="0"/>
          <w:numId w:val="1003"/>
        </w:numPr>
        <w:pStyle w:val="Compact"/>
      </w:pPr>
      <w:r>
        <w:t xml:space="preserve">Béné, C., Frankenberger, T. R., Nelson, S., Constas, M. A., Collins, G., Langworthy, M., &amp; Fox, K. (2023). Food system resilience measurement: Principles, framework and caveats.</w:t>
      </w:r>
      <w:r>
        <w:t xml:space="preserve"> </w:t>
      </w:r>
      <w:r>
        <w:rPr>
          <w:iCs/>
          <w:i/>
        </w:rPr>
        <w:t xml:space="preserve">Food Security, 15</w:t>
      </w:r>
      <w:r>
        <w:t xml:space="preserve">(6), 1437–1458. https://doi.org/10.1007/s12571-023-01407-y — recent · method</w:t>
      </w:r>
    </w:p>
    <w:p>
      <w:pPr>
        <w:numPr>
          <w:ilvl w:val="0"/>
          <w:numId w:val="1003"/>
        </w:numPr>
        <w:pStyle w:val="Compact"/>
      </w:pPr>
      <w:r>
        <w:t xml:space="preserve">Béné, C., Godfrey-Wood, R., Newsham, A., &amp; Davies, M. (2012).</w:t>
      </w:r>
      <w:r>
        <w:t xml:space="preserve"> </w:t>
      </w:r>
      <w:r>
        <w:rPr>
          <w:iCs/>
          <w:i/>
        </w:rPr>
        <w:t xml:space="preserve">Resilience: New utopia or new tyranny? Reflection about the potentials and limits of the concept of resilience in relation to vulnerability reduction programmes</w:t>
      </w:r>
      <w:r>
        <w:t xml:space="preserve"> </w:t>
      </w:r>
      <w:r>
        <w:t xml:space="preserve">(IDS Working Paper No. 405). Institute of Development Studies. https://doi.org/10.1111/j.2040-0209.2012.00405.x — highly cited · distinct perspective</w:t>
      </w:r>
    </w:p>
    <w:p>
      <w:pPr>
        <w:numPr>
          <w:ilvl w:val="0"/>
          <w:numId w:val="1003"/>
        </w:numPr>
        <w:pStyle w:val="Compact"/>
      </w:pPr>
      <w:r>
        <w:t xml:space="preserve">Béné, C., Sasso, A., Abdulai, A.-R., Battersby, J., Cattaneo, A., Collins, G., Even, B., Frankerberger, T., Fanzo, J., Guarin, A., Gephart, J. A., Golden, C. D., Hendriks, S., Herrero, M., Lang, T., Lidder, P., Maitre d’Hotel, E., Nguyen, T., Nguyen, C. M., . . . Zhang, J. (2026). Decoupling food insecurity from shocks: A global analysis of food system resilience.</w:t>
      </w:r>
      <w:r>
        <w:t xml:space="preserve"> </w:t>
      </w:r>
      <w:r>
        <w:rPr>
          <w:iCs/>
          <w:i/>
        </w:rPr>
        <w:t xml:space="preserve">Proceedings of the National Academy of Sciences, 123</w:t>
      </w:r>
      <w:r>
        <w:t xml:space="preserve">(38), Article e2536118123. https://doi.org/10.1073/pnas.2536118123 — recent · case</w:t>
      </w:r>
    </w:p>
    <w:p>
      <w:pPr>
        <w:numPr>
          <w:ilvl w:val="0"/>
          <w:numId w:val="1003"/>
        </w:numPr>
        <w:pStyle w:val="Compact"/>
      </w:pPr>
      <w:r>
        <w:t xml:space="preserve">Black, J. E., Maye, D., Krzywoszynska, A., &amp; Jones, S. (2024). What constitutes food system resilience? The importance of divergent framings between UK mainstream and local food system actors.</w:t>
      </w:r>
      <w:r>
        <w:t xml:space="preserve"> </w:t>
      </w:r>
      <w:r>
        <w:rPr>
          <w:iCs/>
          <w:i/>
        </w:rPr>
        <w:t xml:space="preserve">British Food Journal, 126</w:t>
      </w:r>
      <w:r>
        <w:t xml:space="preserve">(13), 57–71. https://doi.org/10.1108/BFJ-10-2022-0928 — recent · case · distinct perspective</w:t>
      </w:r>
    </w:p>
    <w:p>
      <w:pPr>
        <w:numPr>
          <w:ilvl w:val="0"/>
          <w:numId w:val="1003"/>
        </w:numPr>
        <w:pStyle w:val="Compact"/>
      </w:pPr>
      <w:r>
        <w:t xml:space="preserve">Ericksen, P., Bohle, H.-G., &amp; Stewart, B. (2010). Vulnerability and resilience of food systems. In J. Ingram, P. Ericksen, &amp; D. Liverman (Eds.),</w:t>
      </w:r>
      <w:r>
        <w:t xml:space="preserve"> </w:t>
      </w:r>
      <w:r>
        <w:rPr>
          <w:iCs/>
          <w:i/>
        </w:rPr>
        <w:t xml:space="preserve">Food security and global environmental change</w:t>
      </w:r>
      <w:r>
        <w:t xml:space="preserve"> </w:t>
      </w:r>
      <w:r>
        <w:t xml:space="preserve">(pp. 67–77). Earthscan. — seminal (food systems)</w:t>
      </w:r>
    </w:p>
    <w:p>
      <w:pPr>
        <w:numPr>
          <w:ilvl w:val="0"/>
          <w:numId w:val="1003"/>
        </w:numPr>
        <w:pStyle w:val="Compact"/>
      </w:pPr>
      <w:r>
        <w:t xml:space="preserve">Folke, C. (2006). Resilience: The emergence of a perspective for social–ecological systems analyses.</w:t>
      </w:r>
      <w:r>
        <w:t xml:space="preserve"> </w:t>
      </w:r>
      <w:r>
        <w:rPr>
          <w:iCs/>
          <w:i/>
        </w:rPr>
        <w:t xml:space="preserve">Global Environmental Change, 16</w:t>
      </w:r>
      <w:r>
        <w:t xml:space="preserve">(3), 253–267. https://doi.org/10.1016/j.gloenvcha.2006.04.002 — highly cited · review</w:t>
      </w:r>
    </w:p>
    <w:p>
      <w:pPr>
        <w:numPr>
          <w:ilvl w:val="0"/>
          <w:numId w:val="1003"/>
        </w:numPr>
        <w:pStyle w:val="Compact"/>
      </w:pPr>
      <w:r>
        <w:t xml:space="preserve">HLPE. (2025).</w:t>
      </w:r>
      <w:r>
        <w:t xml:space="preserve"> </w:t>
      </w:r>
      <w:r>
        <w:rPr>
          <w:iCs/>
          <w:i/>
        </w:rPr>
        <w:t xml:space="preserve">Building resilient food systems</w:t>
      </w:r>
      <w:r>
        <w:t xml:space="preserve"> </w:t>
      </w:r>
      <w:r>
        <w:t xml:space="preserve">(HLPE Report No. 20). FAO. — institutional · recent</w:t>
      </w:r>
    </w:p>
    <w:p>
      <w:pPr>
        <w:numPr>
          <w:ilvl w:val="0"/>
          <w:numId w:val="1003"/>
        </w:numPr>
        <w:pStyle w:val="Compact"/>
      </w:pPr>
      <w:r>
        <w:t xml:space="preserve">Hoang, H. K. (2018). Analysis of food demand in Vietnam and short-term impacts of market shocks on quantity and calorie consumption.</w:t>
      </w:r>
      <w:r>
        <w:t xml:space="preserve"> </w:t>
      </w:r>
      <w:r>
        <w:rPr>
          <w:iCs/>
          <w:i/>
        </w:rPr>
        <w:t xml:space="preserve">Agricultural Economics, 49</w:t>
      </w:r>
      <w:r>
        <w:t xml:space="preserve">(1), 83–95. https://doi.org/10.1111/agec.12397 — Viet Nam/ASEAN · case</w:t>
      </w:r>
    </w:p>
    <w:p>
      <w:pPr>
        <w:numPr>
          <w:ilvl w:val="0"/>
          <w:numId w:val="1003"/>
        </w:numPr>
        <w:pStyle w:val="Compact"/>
      </w:pPr>
      <w:r>
        <w:t xml:space="preserve">Holling, C. S. (1973). Resilience and stability of ecological systems.</w:t>
      </w:r>
      <w:r>
        <w:t xml:space="preserve"> </w:t>
      </w:r>
      <w:r>
        <w:rPr>
          <w:iCs/>
          <w:i/>
        </w:rPr>
        <w:t xml:space="preserve">Annual Review of Ecology and Systematics, 4</w:t>
      </w:r>
      <w:r>
        <w:t xml:space="preserve">, 1–23. https://doi.org/10.1146/annurev.es.04.110173.000245 — seminal</w:t>
      </w:r>
    </w:p>
    <w:p>
      <w:pPr>
        <w:numPr>
          <w:ilvl w:val="0"/>
          <w:numId w:val="1003"/>
        </w:numPr>
        <w:pStyle w:val="Compact"/>
      </w:pPr>
      <w:r>
        <w:t xml:space="preserve">Keil, A., Zeller, M., Wida, A., Sanim, B., &amp; Birner, R. (2008). What determines farmers’ resilience towards ENSO-related drought? An empirical assessment in Central Sulawesi, Indonesia.</w:t>
      </w:r>
      <w:r>
        <w:t xml:space="preserve"> </w:t>
      </w:r>
      <w:r>
        <w:rPr>
          <w:iCs/>
          <w:i/>
        </w:rPr>
        <w:t xml:space="preserve">Climatic Change, 86</w:t>
      </w:r>
      <w:r>
        <w:t xml:space="preserve">(3–4), 291–307. https://doi.org/10.1007/s10584-007-9326-4 — Viet Nam/ASEAN · case</w:t>
      </w:r>
    </w:p>
    <w:p>
      <w:pPr>
        <w:numPr>
          <w:ilvl w:val="0"/>
          <w:numId w:val="1003"/>
        </w:numPr>
        <w:pStyle w:val="Compact"/>
      </w:pPr>
      <w:r>
        <w:t xml:space="preserve">Meyer, M. A. (2020). The role of resilience in food system studies in low- and middle-income countries.</w:t>
      </w:r>
      <w:r>
        <w:t xml:space="preserve"> </w:t>
      </w:r>
      <w:r>
        <w:rPr>
          <w:iCs/>
          <w:i/>
        </w:rPr>
        <w:t xml:space="preserve">Global Food Security, 24</w:t>
      </w:r>
      <w:r>
        <w:t xml:space="preserve">, Article 100356. https://doi.org/10.1016/j.gfs.2020.100356 — review (systematic)</w:t>
      </w:r>
    </w:p>
    <w:p>
      <w:pPr>
        <w:numPr>
          <w:ilvl w:val="0"/>
          <w:numId w:val="1003"/>
        </w:numPr>
        <w:pStyle w:val="Compact"/>
      </w:pPr>
      <w:r>
        <w:t xml:space="preserve">Moran, D., Cossar, F., Merkle, M., &amp; Alexander, P. (2020). UK food system resilience tested by COVID-19.</w:t>
      </w:r>
      <w:r>
        <w:t xml:space="preserve"> </w:t>
      </w:r>
      <w:r>
        <w:rPr>
          <w:iCs/>
          <w:i/>
        </w:rPr>
        <w:t xml:space="preserve">Nature Food, 1</w:t>
      </w:r>
      <w:r>
        <w:t xml:space="preserve">(5), 242. https://doi.org/10.1038/s43016-020-0082-1 — case · distinct perspective</w:t>
      </w:r>
    </w:p>
    <w:p>
      <w:pPr>
        <w:numPr>
          <w:ilvl w:val="0"/>
          <w:numId w:val="1003"/>
        </w:numPr>
        <w:pStyle w:val="Compact"/>
      </w:pPr>
      <w:r>
        <w:t xml:space="preserve">Paulus, E., Obersteiner, M., &amp; Ranger, N. (2025). Getting into the doughnut: A framework for assessing systemic resilience in the global food system.</w:t>
      </w:r>
      <w:r>
        <w:t xml:space="preserve"> </w:t>
      </w:r>
      <w:r>
        <w:rPr>
          <w:iCs/>
          <w:i/>
        </w:rPr>
        <w:t xml:space="preserve">One Earth, 8</w:t>
      </w:r>
      <w:r>
        <w:t xml:space="preserve">(11), Article 101460. https://doi.org/10.1016/j.oneear.2025.101460 — recent · review</w:t>
      </w:r>
    </w:p>
    <w:p>
      <w:pPr>
        <w:numPr>
          <w:ilvl w:val="0"/>
          <w:numId w:val="1003"/>
        </w:numPr>
        <w:pStyle w:val="Compact"/>
      </w:pPr>
      <w:r>
        <w:t xml:space="preserve">Puma, M. J. (2019). Resilience of the global food system.</w:t>
      </w:r>
      <w:r>
        <w:t xml:space="preserve"> </w:t>
      </w:r>
      <w:r>
        <w:rPr>
          <w:iCs/>
          <w:i/>
        </w:rPr>
        <w:t xml:space="preserve">Nature Sustainability, 2</w:t>
      </w:r>
      <w:r>
        <w:t xml:space="preserve">(4), 260–261. https://doi.org/10.1038/s41893-019-0274-6 — commentary</w:t>
      </w:r>
    </w:p>
    <w:p>
      <w:pPr>
        <w:numPr>
          <w:ilvl w:val="0"/>
          <w:numId w:val="1003"/>
        </w:numPr>
        <w:pStyle w:val="Compact"/>
      </w:pPr>
      <w:r>
        <w:t xml:space="preserve">Rotz, S., &amp; Fraser, E. (2018). The limits of sustainability and resilience frameworks: Lessons from agri-food system research. In S. Bell &amp; S. Morse (Eds.),</w:t>
      </w:r>
      <w:r>
        <w:t xml:space="preserve"> </w:t>
      </w:r>
      <w:r>
        <w:rPr>
          <w:iCs/>
          <w:i/>
        </w:rPr>
        <w:t xml:space="preserve">Routledge handbook of sustainability indicators</w:t>
      </w:r>
      <w:r>
        <w:t xml:space="preserve"> </w:t>
      </w:r>
      <w:r>
        <w:t xml:space="preserve">(pp. 133–146). Routledge. https://doi.org/10.4324/9781315561103-17 — critique</w:t>
      </w:r>
    </w:p>
    <w:p>
      <w:pPr>
        <w:numPr>
          <w:ilvl w:val="0"/>
          <w:numId w:val="1003"/>
        </w:numPr>
        <w:pStyle w:val="Compact"/>
      </w:pPr>
      <w:r>
        <w:t xml:space="preserve">Schipanski, M. E., MacDonald, G. K., Rosenzweig, S., Chappell, M. J., Bennett, E. M., Kerr, R. B., Blesh, J., Crews, T., Drinkwater, L., Lundgren, J. G., &amp; Schnarr, C. (2016). Realizing resilient food systems.</w:t>
      </w:r>
      <w:r>
        <w:t xml:space="preserve"> </w:t>
      </w:r>
      <w:r>
        <w:rPr>
          <w:iCs/>
          <w:i/>
        </w:rPr>
        <w:t xml:space="preserve">BioScience, 66</w:t>
      </w:r>
      <w:r>
        <w:t xml:space="preserve">(7), 600–610. https://doi.org/10.1093/biosci/biw052 — highly cited · case</w:t>
      </w:r>
    </w:p>
    <w:p>
      <w:pPr>
        <w:numPr>
          <w:ilvl w:val="0"/>
          <w:numId w:val="1003"/>
        </w:numPr>
        <w:pStyle w:val="Compact"/>
      </w:pPr>
      <w:r>
        <w:t xml:space="preserve">Tendall, D. M., Joerin, J., Kopainsky, B., Edwards, P., Shreck, A., Le, Q. B., Kruetli, P., Grant, M., &amp; Six, J. (2015). Food system resilience: Defining the concept.</w:t>
      </w:r>
      <w:r>
        <w:t xml:space="preserve"> </w:t>
      </w:r>
      <w:r>
        <w:rPr>
          <w:iCs/>
          <w:i/>
        </w:rPr>
        <w:t xml:space="preserve">Global Food Security, 6</w:t>
      </w:r>
      <w:r>
        <w:t xml:space="preserve">, 17–23. https://doi.org/10.1016/j.gfs.2015.08.001 — seminal · highly cited</w:t>
      </w:r>
    </w:p>
    <w:p>
      <w:pPr>
        <w:numPr>
          <w:ilvl w:val="0"/>
          <w:numId w:val="1003"/>
        </w:numPr>
        <w:pStyle w:val="Compact"/>
      </w:pPr>
      <w:r>
        <w:t xml:space="preserve">Tran, T. P. H. (2012).</w:t>
      </w:r>
      <w:r>
        <w:t xml:space="preserve"> </w:t>
      </w:r>
      <w:r>
        <w:rPr>
          <w:iCs/>
          <w:i/>
        </w:rPr>
        <w:t xml:space="preserve">Resilience and livelihood dynamics of shrimp farmers and fishers in the Mekong Delta, Vietnam</w:t>
      </w:r>
      <w:r>
        <w:t xml:space="preserve"> </w:t>
      </w:r>
      <w:r>
        <w:t xml:space="preserve">[Doctoral dissertation, Wageningen University]. — Viet Nam/ASEAN · case</w:t>
      </w:r>
    </w:p>
    <w:p>
      <w:pPr>
        <w:numPr>
          <w:ilvl w:val="0"/>
          <w:numId w:val="1003"/>
        </w:numPr>
        <w:pStyle w:val="Compact"/>
      </w:pPr>
      <w:r>
        <w:t xml:space="preserve">Walker, B., Holling, C. S., Carpenter, S. R., &amp; Kinzig, A. (2004). Resilience, adaptability and transformability in social–ecological systems.</w:t>
      </w:r>
      <w:r>
        <w:t xml:space="preserve"> </w:t>
      </w:r>
      <w:r>
        <w:rPr>
          <w:iCs/>
          <w:i/>
        </w:rPr>
        <w:t xml:space="preserve">Ecology and Society, 9</w:t>
      </w:r>
      <w:r>
        <w:t xml:space="preserve">(2), Article 5. https://doi.org/10.5751/ES-00650-090205 — seminal · highly cited</w:t>
      </w:r>
    </w:p>
    <w:p>
      <w:pPr>
        <w:numPr>
          <w:ilvl w:val="0"/>
          <w:numId w:val="1003"/>
        </w:numPr>
        <w:pStyle w:val="Compact"/>
      </w:pPr>
      <w:r>
        <w:t xml:space="preserve">Wood, A., Queiroz, C., Deutsch, L., González-Mon, B., Jonell, M., Pereira, L., Sinare, H., Svedin, U., &amp; Wassénius, E. (2023). Reframing the local–global food systems debate through a resilience lens.</w:t>
      </w:r>
      <w:r>
        <w:t xml:space="preserve"> </w:t>
      </w:r>
      <w:r>
        <w:rPr>
          <w:iCs/>
          <w:i/>
        </w:rPr>
        <w:t xml:space="preserve">Nature Food, 4</w:t>
      </w:r>
      <w:r>
        <w:t xml:space="preserve">(1), 22–29. https://doi.org/10.1038/s43016-022-00662-0 — recent · distinct perspective</w:t>
      </w:r>
    </w:p>
    <w:p>
      <w:pPr>
        <w:pStyle w:val="FirstParagraph"/>
      </w:pPr>
      <w:r>
        <w:rPr>
          <w:iCs/>
          <w:i/>
        </w:rPr>
        <w:t xml:space="preserve">Gap note (28 Oct 2026):</w:t>
      </w:r>
      <w:r>
        <w:t xml:space="preserve"> </w:t>
      </w:r>
      <w:r>
        <w:t xml:space="preserve">23 sources, above the 12–20 target for a full, broad entry; all are in Zotero with PDFs. Citation counts were not checked because OpenAlex and Crossref were blocked in this session. Version notes: the Holling (1973) PDF is the IIASA Research Report version (Sept. 1973), so its locator is a PDF page; the Rotz &amp; Fraser (2018) PDF is an author manuscript, so its locators are PDF pages. Three works this page should use are not in Zotero yet: Zurek et al. (2022,</w:t>
      </w:r>
      <w:r>
        <w:t xml:space="preserve"> </w:t>
      </w:r>
      <w:r>
        <w:rPr>
          <w:iCs/>
          <w:i/>
        </w:rPr>
        <w:t xml:space="preserve">Annual Review of Environment and Resources</w:t>
      </w:r>
      <w:r>
        <w:t xml:space="preserve">; the main recent review), FAO (2021,</w:t>
      </w:r>
      <w:r>
        <w:t xml:space="preserve"> </w:t>
      </w:r>
      <w:r>
        <w:rPr>
          <w:iCs/>
          <w:i/>
        </w:rPr>
        <w:t xml:space="preserve">The State of Food and Agriculture 2021: Making agrifood systems more resilient to shocks and stresses</w:t>
      </w:r>
      <w:r>
        <w:t xml:space="preserve">) and Cabell &amp; Oelofse (2012, agroecosystem resilience indicators); the import script of 28 Oct adds them. Viet Nam evidence is household- or sector-level; no whole-food-system resilience assessment for Viet Nam was found. Relevant items in Zotero without a PDF: Béné et al. (2021, COVID-19 and a more resilient food system), Kc et al. (2025, food systems resilience score), Sokchea (2024, deltaic agri-food systems in Cambodia) and UNDP Viet Nam (2024).</w:t>
      </w:r>
    </w:p>
    <w:bookmarkEnd w:id="26"/>
    <w:bookmarkStart w:id="27" w:name="evidence"/>
    <w:p>
      <w:pPr>
        <w:pStyle w:val="Heading2"/>
      </w:pPr>
      <w:r>
        <w:t xml:space="preserve">Evidence</w:t>
      </w:r>
    </w:p>
    <w:tbl>
      <w:tblPr>
        <w:tblStyle w:val="Table"/>
        <w:tblW w:type="pct" w:w="5000"/>
        <w:tblLayout w:type="fixed"/>
        <w:tblLook w:firstRow="1" w:lastRow="0" w:firstColumn="0" w:lastColumn="0" w:noHBand="0" w:noVBand="0" w:val="0020"/>
        <w:jc w:val="start"/>
      </w:tblPr>
      <w:tblGrid>
        <w:gridCol w:w="578"/>
        <w:gridCol w:w="2505"/>
        <w:gridCol w:w="1060"/>
        <w:gridCol w:w="1349"/>
        <w:gridCol w:w="3180"/>
        <w:gridCol w:w="963"/>
      </w:tblGrid>
      <w:tr>
        <w:trPr>
          <w:tblHeader w:val="true"/>
        </w:trPr>
        <w:tc>
          <w:tcPr>
            <w:tcW w:type="dxa" w:w="578"/>
          </w:tcPr>
          <w:p>
            <w:pPr>
              <w:pStyle w:val="Compact"/>
              <w:jc w:val="left"/>
            </w:pPr>
            <w:r>
              <w:rPr>
                <w:sz w:val="17"/>
              </w:rPr>
              <w:t xml:space="preserve">ID</w:t>
            </w:r>
          </w:p>
        </w:tc>
        <w:tc>
          <w:tcPr>
            <w:tcW w:type="dxa" w:w="2506"/>
          </w:tcPr>
          <w:p>
            <w:pPr>
              <w:pStyle w:val="Compact"/>
              <w:jc w:val="left"/>
            </w:pPr>
            <w:r>
              <w:rPr>
                <w:sz w:val="17"/>
              </w:rPr>
              <w:t xml:space="preserve">Claim</w:t>
            </w:r>
          </w:p>
        </w:tc>
        <w:tc>
          <w:tcPr>
            <w:tcW w:type="dxa" w:w="1060"/>
          </w:tcPr>
          <w:p>
            <w:pPr>
              <w:pStyle w:val="Compact"/>
              <w:jc w:val="left"/>
            </w:pPr>
            <w:r>
              <w:rPr>
                <w:sz w:val="17"/>
              </w:rPr>
              <w:t xml:space="preserve">Section</w:t>
            </w:r>
          </w:p>
        </w:tc>
        <w:tc>
          <w:tcPr>
            <w:tcW w:type="dxa" w:w="1349"/>
          </w:tcPr>
          <w:p>
            <w:pPr>
              <w:pStyle w:val="Compact"/>
              <w:jc w:val="left"/>
            </w:pPr>
            <w:r>
              <w:rPr>
                <w:sz w:val="17"/>
              </w:rPr>
              <w:t xml:space="preserve">Source</w:t>
            </w:r>
          </w:p>
        </w:tc>
        <w:tc>
          <w:tcPr>
            <w:tcW w:type="dxa" w:w="3181"/>
          </w:tcPr>
          <w:p>
            <w:pPr>
              <w:pStyle w:val="Compact"/>
              <w:jc w:val="left"/>
            </w:pPr>
            <w:r>
              <w:rPr>
                <w:sz w:val="17"/>
              </w:rPr>
              <w:t xml:space="preserve">Quote</w:t>
            </w:r>
          </w:p>
        </w:tc>
        <w:tc>
          <w:tcPr>
            <w:tcW w:type="dxa" w:w="964"/>
          </w:tcPr>
          <w:p>
            <w:pPr>
              <w:pStyle w:val="Compact"/>
              <w:jc w:val="left"/>
            </w:pPr>
            <w:r>
              <w:rPr>
                <w:sz w:val="17"/>
              </w:rPr>
              <w:t xml:space="preserve">Locator</w:t>
            </w:r>
          </w:p>
        </w:tc>
      </w:tr>
      <w:tr>
        <w:tc>
          <w:tcPr>
            <w:tcW w:type="dxa" w:w="578"/>
          </w:tcPr>
          <w:p>
            <w:pPr>
              <w:pStyle w:val="Compact"/>
              <w:jc w:val="left"/>
            </w:pPr>
            <w:r>
              <w:rPr>
                <w:sz w:val="17"/>
              </w:rPr>
              <w:t xml:space="preserve">E1</w:t>
            </w:r>
          </w:p>
        </w:tc>
        <w:tc>
          <w:tcPr>
            <w:tcW w:type="dxa" w:w="2506"/>
          </w:tcPr>
          <w:p>
            <w:pPr>
              <w:pStyle w:val="Compact"/>
              <w:jc w:val="left"/>
            </w:pPr>
            <w:r>
              <w:rPr>
                <w:sz w:val="17"/>
              </w:rPr>
              <w:t xml:space="preserve">Holling’s 1973 paper framed resilience as the persistence of a system and its ability to absorb change</w:t>
            </w:r>
          </w:p>
        </w:tc>
        <w:tc>
          <w:tcPr>
            <w:tcW w:type="dxa" w:w="1060"/>
          </w:tcPr>
          <w:p>
            <w:pPr>
              <w:pStyle w:val="Compact"/>
              <w:jc w:val="left"/>
            </w:pPr>
            <w:r>
              <w:rPr>
                <w:sz w:val="17"/>
              </w:rPr>
              <w:t xml:space="preserve">Definitions</w:t>
            </w:r>
          </w:p>
        </w:tc>
        <w:tc>
          <w:tcPr>
            <w:tcW w:type="dxa" w:w="1349"/>
          </w:tcPr>
          <w:p>
            <w:pPr>
              <w:pStyle w:val="Compact"/>
              <w:jc w:val="left"/>
            </w:pPr>
            <w:r>
              <w:rPr>
                <w:sz w:val="17"/>
              </w:rPr>
              <w:t xml:space="preserve">Holling (1973)</w:t>
            </w:r>
          </w:p>
        </w:tc>
        <w:tc>
          <w:tcPr>
            <w:tcW w:type="dxa" w:w="3181"/>
          </w:tcPr>
          <w:p>
            <w:pPr>
              <w:pStyle w:val="Compact"/>
              <w:jc w:val="left"/>
            </w:pPr>
            <w:r>
              <w:rPr>
                <w:sz w:val="17"/>
              </w:rPr>
              <w:t xml:space="preserve">“</w:t>
            </w:r>
            <w:r>
              <w:rPr>
                <w:sz w:val="17"/>
              </w:rPr>
              <w:t xml:space="preserve">a measure of the persistence of systems</w:t>
            </w:r>
            <w:r>
              <w:rPr>
                <w:sz w:val="17"/>
              </w:rPr>
              <w:t xml:space="preserve">”</w:t>
            </w:r>
          </w:p>
        </w:tc>
        <w:tc>
          <w:tcPr>
            <w:tcW w:type="dxa" w:w="964"/>
          </w:tcPr>
          <w:p>
            <w:pPr>
              <w:pStyle w:val="Compact"/>
              <w:jc w:val="left"/>
            </w:pPr>
            <w:r>
              <w:rPr>
                <w:sz w:val="17"/>
              </w:rPr>
              <w:t xml:space="preserve">PDF p. 16</w:t>
            </w:r>
          </w:p>
        </w:tc>
      </w:tr>
      <w:tr>
        <w:tc>
          <w:tcPr>
            <w:tcW w:type="dxa" w:w="578"/>
          </w:tcPr>
          <w:p>
            <w:pPr>
              <w:pStyle w:val="Compact"/>
              <w:jc w:val="left"/>
            </w:pPr>
            <w:r>
              <w:rPr>
                <w:sz w:val="17"/>
              </w:rPr>
              <w:t xml:space="preserve">E2</w:t>
            </w:r>
          </w:p>
        </w:tc>
        <w:tc>
          <w:tcPr>
            <w:tcW w:type="dxa" w:w="2506"/>
          </w:tcPr>
          <w:p>
            <w:pPr>
              <w:pStyle w:val="Compact"/>
              <w:jc w:val="left"/>
            </w:pPr>
            <w:r>
              <w:rPr>
                <w:sz w:val="17"/>
              </w:rPr>
              <w:t xml:space="preserve">Engineering resilience centres on how fast a system returns to equilibrium</w:t>
            </w:r>
          </w:p>
        </w:tc>
        <w:tc>
          <w:tcPr>
            <w:tcW w:type="dxa" w:w="1060"/>
          </w:tcPr>
          <w:p>
            <w:pPr>
              <w:pStyle w:val="Compact"/>
              <w:jc w:val="left"/>
            </w:pPr>
            <w:r>
              <w:rPr>
                <w:sz w:val="17"/>
              </w:rPr>
              <w:t xml:space="preserve">Definitions</w:t>
            </w:r>
          </w:p>
        </w:tc>
        <w:tc>
          <w:tcPr>
            <w:tcW w:type="dxa" w:w="1349"/>
          </w:tcPr>
          <w:p>
            <w:pPr>
              <w:pStyle w:val="Compact"/>
              <w:jc w:val="left"/>
            </w:pPr>
            <w:r>
              <w:rPr>
                <w:sz w:val="17"/>
              </w:rPr>
              <w:t xml:space="preserve">Folke (2006)</w:t>
            </w:r>
          </w:p>
        </w:tc>
        <w:tc>
          <w:tcPr>
            <w:tcW w:type="dxa" w:w="3181"/>
          </w:tcPr>
          <w:p>
            <w:pPr>
              <w:pStyle w:val="Compact"/>
              <w:jc w:val="left"/>
            </w:pPr>
            <w:r>
              <w:rPr>
                <w:sz w:val="17"/>
              </w:rPr>
              <w:t xml:space="preserve">“</w:t>
            </w:r>
            <w:r>
              <w:rPr>
                <w:sz w:val="17"/>
              </w:rPr>
              <w:t xml:space="preserve">the speed of return to equilibrium</w:t>
            </w:r>
            <w:r>
              <w:rPr>
                <w:sz w:val="17"/>
              </w:rPr>
              <w:t xml:space="preserve">”</w:t>
            </w:r>
          </w:p>
        </w:tc>
        <w:tc>
          <w:tcPr>
            <w:tcW w:type="dxa" w:w="964"/>
          </w:tcPr>
          <w:p>
            <w:pPr>
              <w:pStyle w:val="Compact"/>
              <w:jc w:val="left"/>
            </w:pPr>
            <w:r>
              <w:rPr>
                <w:sz w:val="17"/>
              </w:rPr>
              <w:t xml:space="preserve">p. 256</w:t>
            </w:r>
          </w:p>
        </w:tc>
      </w:tr>
      <w:tr>
        <w:tc>
          <w:tcPr>
            <w:tcW w:type="dxa" w:w="578"/>
          </w:tcPr>
          <w:p>
            <w:pPr>
              <w:pStyle w:val="Compact"/>
              <w:jc w:val="left"/>
            </w:pPr>
            <w:r>
              <w:rPr>
                <w:sz w:val="17"/>
              </w:rPr>
              <w:t xml:space="preserve">E3</w:t>
            </w:r>
          </w:p>
        </w:tc>
        <w:tc>
          <w:tcPr>
            <w:tcW w:type="dxa" w:w="2506"/>
          </w:tcPr>
          <w:p>
            <w:pPr>
              <w:pStyle w:val="Compact"/>
              <w:jc w:val="left"/>
            </w:pPr>
            <w:r>
              <w:rPr>
                <w:sz w:val="17"/>
              </w:rPr>
              <w:t xml:space="preserve">Walker et al. define resilience as absorbing disturbance and reorganising while keeping function and identity</w:t>
            </w:r>
          </w:p>
        </w:tc>
        <w:tc>
          <w:tcPr>
            <w:tcW w:type="dxa" w:w="1060"/>
          </w:tcPr>
          <w:p>
            <w:pPr>
              <w:pStyle w:val="Compact"/>
              <w:jc w:val="left"/>
            </w:pPr>
            <w:r>
              <w:rPr>
                <w:sz w:val="17"/>
              </w:rPr>
              <w:t xml:space="preserve">Definitions</w:t>
            </w:r>
          </w:p>
        </w:tc>
        <w:tc>
          <w:tcPr>
            <w:tcW w:type="dxa" w:w="1349"/>
          </w:tcPr>
          <w:p>
            <w:pPr>
              <w:pStyle w:val="Compact"/>
              <w:jc w:val="left"/>
            </w:pPr>
            <w:r>
              <w:rPr>
                <w:sz w:val="17"/>
              </w:rPr>
              <w:t xml:space="preserve">Walker et al. (2004)</w:t>
            </w:r>
          </w:p>
        </w:tc>
        <w:tc>
          <w:tcPr>
            <w:tcW w:type="dxa" w:w="3181"/>
          </w:tcPr>
          <w:p>
            <w:pPr>
              <w:pStyle w:val="Compact"/>
              <w:jc w:val="left"/>
            </w:pPr>
            <w:r>
              <w:rPr>
                <w:sz w:val="17"/>
              </w:rPr>
              <w:t xml:space="preserve">“</w:t>
            </w:r>
            <w:r>
              <w:rPr>
                <w:sz w:val="17"/>
              </w:rPr>
              <w:t xml:space="preserve">the capacity of a system to absorb disturbance and reorganize while undergoing change</w:t>
            </w:r>
            <w:r>
              <w:rPr>
                <w:sz w:val="17"/>
              </w:rPr>
              <w:t xml:space="preserve">”</w:t>
            </w:r>
          </w:p>
        </w:tc>
        <w:tc>
          <w:tcPr>
            <w:tcW w:type="dxa" w:w="964"/>
          </w:tcPr>
          <w:p>
            <w:pPr>
              <w:pStyle w:val="Compact"/>
              <w:jc w:val="left"/>
            </w:pPr>
            <w:r>
              <w:rPr>
                <w:sz w:val="17"/>
              </w:rPr>
              <w:t xml:space="preserve">PDF p. 3</w:t>
            </w:r>
          </w:p>
        </w:tc>
      </w:tr>
      <w:tr>
        <w:tc>
          <w:tcPr>
            <w:tcW w:type="dxa" w:w="578"/>
          </w:tcPr>
          <w:p>
            <w:pPr>
              <w:pStyle w:val="Compact"/>
              <w:jc w:val="left"/>
            </w:pPr>
            <w:r>
              <w:rPr>
                <w:sz w:val="17"/>
              </w:rPr>
              <w:t xml:space="preserve">E4</w:t>
            </w:r>
          </w:p>
        </w:tc>
        <w:tc>
          <w:tcPr>
            <w:tcW w:type="dxa" w:w="2506"/>
          </w:tcPr>
          <w:p>
            <w:pPr>
              <w:pStyle w:val="Compact"/>
              <w:jc w:val="left"/>
            </w:pPr>
            <w:r>
              <w:rPr>
                <w:sz w:val="17"/>
              </w:rPr>
              <w:t xml:space="preserve">Transformability is the capacity to create a new system when the old one is untenable</w:t>
            </w:r>
          </w:p>
        </w:tc>
        <w:tc>
          <w:tcPr>
            <w:tcW w:type="dxa" w:w="1060"/>
          </w:tcPr>
          <w:p>
            <w:pPr>
              <w:pStyle w:val="Compact"/>
              <w:jc w:val="left"/>
            </w:pPr>
            <w:r>
              <w:rPr>
                <w:sz w:val="17"/>
              </w:rPr>
              <w:t xml:space="preserve">Definitions</w:t>
            </w:r>
          </w:p>
        </w:tc>
        <w:tc>
          <w:tcPr>
            <w:tcW w:type="dxa" w:w="1349"/>
          </w:tcPr>
          <w:p>
            <w:pPr>
              <w:pStyle w:val="Compact"/>
              <w:jc w:val="left"/>
            </w:pPr>
            <w:r>
              <w:rPr>
                <w:sz w:val="17"/>
              </w:rPr>
              <w:t xml:space="preserve">Walker et al. (2004)</w:t>
            </w:r>
          </w:p>
        </w:tc>
        <w:tc>
          <w:tcPr>
            <w:tcW w:type="dxa" w:w="3181"/>
          </w:tcPr>
          <w:p>
            <w:pPr>
              <w:pStyle w:val="Compact"/>
              <w:jc w:val="left"/>
            </w:pPr>
            <w:r>
              <w:rPr>
                <w:sz w:val="17"/>
              </w:rPr>
              <w:t xml:space="preserve">“</w:t>
            </w:r>
            <w:r>
              <w:rPr>
                <w:sz w:val="17"/>
              </w:rPr>
              <w:t xml:space="preserve">the capacity to create a fundamentally new system</w:t>
            </w:r>
            <w:r>
              <w:rPr>
                <w:sz w:val="17"/>
              </w:rPr>
              <w:t xml:space="preserve">”</w:t>
            </w:r>
          </w:p>
        </w:tc>
        <w:tc>
          <w:tcPr>
            <w:tcW w:type="dxa" w:w="964"/>
          </w:tcPr>
          <w:p>
            <w:pPr>
              <w:pStyle w:val="Compact"/>
              <w:jc w:val="left"/>
            </w:pPr>
            <w:r>
              <w:rPr>
                <w:sz w:val="17"/>
              </w:rPr>
              <w:t xml:space="preserve">PDF p. 2</w:t>
            </w:r>
          </w:p>
        </w:tc>
      </w:tr>
      <w:tr>
        <w:tc>
          <w:tcPr>
            <w:tcW w:type="dxa" w:w="578"/>
          </w:tcPr>
          <w:p>
            <w:pPr>
              <w:pStyle w:val="Compact"/>
              <w:jc w:val="left"/>
            </w:pPr>
            <w:r>
              <w:rPr>
                <w:sz w:val="17"/>
              </w:rPr>
              <w:t xml:space="preserve">E5</w:t>
            </w:r>
          </w:p>
        </w:tc>
        <w:tc>
          <w:tcPr>
            <w:tcW w:type="dxa" w:w="2506"/>
          </w:tcPr>
          <w:p>
            <w:pPr>
              <w:pStyle w:val="Compact"/>
              <w:jc w:val="left"/>
            </w:pPr>
            <w:r>
              <w:rPr>
                <w:sz w:val="17"/>
              </w:rPr>
              <w:t xml:space="preserve">Ericksen et al. carried the ecological definition into food systems research</w:t>
            </w:r>
          </w:p>
        </w:tc>
        <w:tc>
          <w:tcPr>
            <w:tcW w:type="dxa" w:w="1060"/>
          </w:tcPr>
          <w:p>
            <w:pPr>
              <w:pStyle w:val="Compact"/>
              <w:jc w:val="left"/>
            </w:pPr>
            <w:r>
              <w:rPr>
                <w:sz w:val="17"/>
              </w:rPr>
              <w:t xml:space="preserve">Definitions</w:t>
            </w:r>
          </w:p>
        </w:tc>
        <w:tc>
          <w:tcPr>
            <w:tcW w:type="dxa" w:w="1349"/>
          </w:tcPr>
          <w:p>
            <w:pPr>
              <w:pStyle w:val="Compact"/>
              <w:jc w:val="left"/>
            </w:pPr>
            <w:r>
              <w:rPr>
                <w:sz w:val="17"/>
              </w:rPr>
              <w:t xml:space="preserve">Ericksen et al. (2010)</w:t>
            </w:r>
          </w:p>
        </w:tc>
        <w:tc>
          <w:tcPr>
            <w:tcW w:type="dxa" w:w="3181"/>
          </w:tcPr>
          <w:p>
            <w:pPr>
              <w:pStyle w:val="Compact"/>
              <w:jc w:val="left"/>
            </w:pPr>
            <w:r>
              <w:rPr>
                <w:sz w:val="17"/>
              </w:rPr>
              <w:t xml:space="preserve">“</w:t>
            </w:r>
            <w:r>
              <w:rPr>
                <w:sz w:val="17"/>
              </w:rPr>
              <w:t xml:space="preserve">the capacity of a system to absorb change without shifting to an altered state</w:t>
            </w:r>
            <w:r>
              <w:rPr>
                <w:sz w:val="17"/>
              </w:rPr>
              <w:t xml:space="preserve">”</w:t>
            </w:r>
          </w:p>
        </w:tc>
        <w:tc>
          <w:tcPr>
            <w:tcW w:type="dxa" w:w="964"/>
          </w:tcPr>
          <w:p>
            <w:pPr>
              <w:pStyle w:val="Compact"/>
              <w:jc w:val="left"/>
            </w:pPr>
            <w:r>
              <w:rPr>
                <w:sz w:val="17"/>
              </w:rPr>
              <w:t xml:space="preserve">p. 70</w:t>
            </w:r>
          </w:p>
        </w:tc>
      </w:tr>
      <w:tr>
        <w:tc>
          <w:tcPr>
            <w:tcW w:type="dxa" w:w="578"/>
          </w:tcPr>
          <w:p>
            <w:pPr>
              <w:pStyle w:val="Compact"/>
              <w:jc w:val="left"/>
            </w:pPr>
            <w:r>
              <w:rPr>
                <w:sz w:val="17"/>
              </w:rPr>
              <w:t xml:space="preserve">E6</w:t>
            </w:r>
          </w:p>
        </w:tc>
        <w:tc>
          <w:tcPr>
            <w:tcW w:type="dxa" w:w="2506"/>
          </w:tcPr>
          <w:p>
            <w:pPr>
              <w:pStyle w:val="Compact"/>
              <w:jc w:val="left"/>
            </w:pPr>
            <w:r>
              <w:rPr>
                <w:sz w:val="17"/>
              </w:rPr>
              <w:t xml:space="preserve">Development research split resilience into three capacities</w:t>
            </w:r>
          </w:p>
        </w:tc>
        <w:tc>
          <w:tcPr>
            <w:tcW w:type="dxa" w:w="1060"/>
          </w:tcPr>
          <w:p>
            <w:pPr>
              <w:pStyle w:val="Compact"/>
              <w:jc w:val="left"/>
            </w:pPr>
            <w:r>
              <w:rPr>
                <w:sz w:val="17"/>
              </w:rPr>
              <w:t xml:space="preserve">Definitions</w:t>
            </w:r>
          </w:p>
        </w:tc>
        <w:tc>
          <w:tcPr>
            <w:tcW w:type="dxa" w:w="1349"/>
          </w:tcPr>
          <w:p>
            <w:pPr>
              <w:pStyle w:val="Compact"/>
              <w:jc w:val="left"/>
            </w:pPr>
            <w:r>
              <w:rPr>
                <w:sz w:val="17"/>
              </w:rPr>
              <w:t xml:space="preserve">Béné et al. (2012)</w:t>
            </w:r>
          </w:p>
        </w:tc>
        <w:tc>
          <w:tcPr>
            <w:tcW w:type="dxa" w:w="3181"/>
          </w:tcPr>
          <w:p>
            <w:pPr>
              <w:pStyle w:val="Compact"/>
              <w:jc w:val="left"/>
            </w:pPr>
            <w:r>
              <w:rPr>
                <w:sz w:val="17"/>
              </w:rPr>
              <w:t xml:space="preserve">“</w:t>
            </w:r>
            <w:r>
              <w:rPr>
                <w:sz w:val="17"/>
              </w:rPr>
              <w:t xml:space="preserve">absorptive, adaptive, and transformative capacity</w:t>
            </w:r>
            <w:r>
              <w:rPr>
                <w:sz w:val="17"/>
              </w:rPr>
              <w:t xml:space="preserve">”</w:t>
            </w:r>
          </w:p>
        </w:tc>
        <w:tc>
          <w:tcPr>
            <w:tcW w:type="dxa" w:w="964"/>
          </w:tcPr>
          <w:p>
            <w:pPr>
              <w:pStyle w:val="Compact"/>
              <w:jc w:val="left"/>
            </w:pPr>
            <w:r>
              <w:rPr>
                <w:sz w:val="17"/>
              </w:rPr>
              <w:t xml:space="preserve">p. 21</w:t>
            </w:r>
          </w:p>
        </w:tc>
      </w:tr>
      <w:tr>
        <w:tc>
          <w:tcPr>
            <w:tcW w:type="dxa" w:w="578"/>
          </w:tcPr>
          <w:p>
            <w:pPr>
              <w:pStyle w:val="Compact"/>
              <w:jc w:val="left"/>
            </w:pPr>
            <w:r>
              <w:rPr>
                <w:sz w:val="17"/>
              </w:rPr>
              <w:t xml:space="preserve">E7</w:t>
            </w:r>
          </w:p>
        </w:tc>
        <w:tc>
          <w:tcPr>
            <w:tcW w:type="dxa" w:w="2506"/>
          </w:tcPr>
          <w:p>
            <w:pPr>
              <w:pStyle w:val="Compact"/>
              <w:jc w:val="left"/>
            </w:pPr>
            <w:r>
              <w:rPr>
                <w:sz w:val="17"/>
              </w:rPr>
              <w:t xml:space="preserve">Tendall et al. define food system resilience as a capacity over time at multiple levels</w:t>
            </w:r>
          </w:p>
        </w:tc>
        <w:tc>
          <w:tcPr>
            <w:tcW w:type="dxa" w:w="1060"/>
          </w:tcPr>
          <w:p>
            <w:pPr>
              <w:pStyle w:val="Compact"/>
              <w:jc w:val="left"/>
            </w:pPr>
            <w:r>
              <w:rPr>
                <w:sz w:val="17"/>
              </w:rPr>
              <w:t xml:space="preserve">Definitions</w:t>
            </w:r>
          </w:p>
        </w:tc>
        <w:tc>
          <w:tcPr>
            <w:tcW w:type="dxa" w:w="1349"/>
          </w:tcPr>
          <w:p>
            <w:pPr>
              <w:pStyle w:val="Compact"/>
              <w:jc w:val="left"/>
            </w:pPr>
            <w:r>
              <w:rPr>
                <w:sz w:val="17"/>
              </w:rPr>
              <w:t xml:space="preserve">Tendall et al. (2015)</w:t>
            </w:r>
          </w:p>
        </w:tc>
        <w:tc>
          <w:tcPr>
            <w:tcW w:type="dxa" w:w="3181"/>
          </w:tcPr>
          <w:p>
            <w:pPr>
              <w:pStyle w:val="Compact"/>
              <w:jc w:val="left"/>
            </w:pPr>
            <w:r>
              <w:rPr>
                <w:sz w:val="17"/>
              </w:rPr>
              <w:t xml:space="preserve">“</w:t>
            </w:r>
            <w:r>
              <w:rPr>
                <w:sz w:val="17"/>
              </w:rPr>
              <w:t xml:space="preserve">capacity over time of a food system and its units at multiple levels</w:t>
            </w:r>
            <w:r>
              <w:rPr>
                <w:sz w:val="17"/>
              </w:rPr>
              <w:t xml:space="preserve">”</w:t>
            </w:r>
          </w:p>
        </w:tc>
        <w:tc>
          <w:tcPr>
            <w:tcW w:type="dxa" w:w="964"/>
          </w:tcPr>
          <w:p>
            <w:pPr>
              <w:pStyle w:val="Compact"/>
              <w:jc w:val="left"/>
            </w:pPr>
            <w:r>
              <w:rPr>
                <w:sz w:val="17"/>
              </w:rPr>
              <w:t xml:space="preserve">p. 19</w:t>
            </w:r>
          </w:p>
        </w:tc>
      </w:tr>
      <w:tr>
        <w:tc>
          <w:tcPr>
            <w:tcW w:type="dxa" w:w="578"/>
          </w:tcPr>
          <w:p>
            <w:pPr>
              <w:pStyle w:val="Compact"/>
              <w:jc w:val="left"/>
            </w:pPr>
            <w:r>
              <w:rPr>
                <w:sz w:val="17"/>
              </w:rPr>
              <w:t xml:space="preserve">E8</w:t>
            </w:r>
          </w:p>
        </w:tc>
        <w:tc>
          <w:tcPr>
            <w:tcW w:type="dxa" w:w="2506"/>
          </w:tcPr>
          <w:p>
            <w:pPr>
              <w:pStyle w:val="Compact"/>
              <w:jc w:val="left"/>
            </w:pPr>
            <w:r>
              <w:rPr>
                <w:sz w:val="17"/>
              </w:rPr>
              <w:t xml:space="preserve">The function protected is the provision of sufficient, appropriate and accessible food</w:t>
            </w:r>
          </w:p>
        </w:tc>
        <w:tc>
          <w:tcPr>
            <w:tcW w:type="dxa" w:w="1060"/>
          </w:tcPr>
          <w:p>
            <w:pPr>
              <w:pStyle w:val="Compact"/>
              <w:jc w:val="left"/>
            </w:pPr>
            <w:r>
              <w:rPr>
                <w:sz w:val="17"/>
              </w:rPr>
              <w:t xml:space="preserve">Definitions</w:t>
            </w:r>
          </w:p>
        </w:tc>
        <w:tc>
          <w:tcPr>
            <w:tcW w:type="dxa" w:w="1349"/>
          </w:tcPr>
          <w:p>
            <w:pPr>
              <w:pStyle w:val="Compact"/>
              <w:jc w:val="left"/>
            </w:pPr>
            <w:r>
              <w:rPr>
                <w:sz w:val="17"/>
              </w:rPr>
              <w:t xml:space="preserve">Tendall et al. (2015)</w:t>
            </w:r>
          </w:p>
        </w:tc>
        <w:tc>
          <w:tcPr>
            <w:tcW w:type="dxa" w:w="3181"/>
          </w:tcPr>
          <w:p>
            <w:pPr>
              <w:pStyle w:val="Compact"/>
              <w:jc w:val="left"/>
            </w:pPr>
            <w:r>
              <w:rPr>
                <w:sz w:val="17"/>
              </w:rPr>
              <w:t xml:space="preserve">“</w:t>
            </w:r>
            <w:r>
              <w:rPr>
                <w:sz w:val="17"/>
              </w:rPr>
              <w:t xml:space="preserve">to provide sufficient, appropriate and accessible food to all</w:t>
            </w:r>
            <w:r>
              <w:rPr>
                <w:sz w:val="17"/>
              </w:rPr>
              <w:t xml:space="preserve">”</w:t>
            </w:r>
          </w:p>
        </w:tc>
        <w:tc>
          <w:tcPr>
            <w:tcW w:type="dxa" w:w="964"/>
          </w:tcPr>
          <w:p>
            <w:pPr>
              <w:pStyle w:val="Compact"/>
              <w:jc w:val="left"/>
            </w:pPr>
            <w:r>
              <w:rPr>
                <w:sz w:val="17"/>
              </w:rPr>
              <w:t xml:space="preserve">p. 19</w:t>
            </w:r>
          </w:p>
        </w:tc>
      </w:tr>
      <w:tr>
        <w:tc>
          <w:tcPr>
            <w:tcW w:type="dxa" w:w="578"/>
          </w:tcPr>
          <w:p>
            <w:pPr>
              <w:pStyle w:val="Compact"/>
              <w:jc w:val="left"/>
            </w:pPr>
            <w:r>
              <w:rPr>
                <w:sz w:val="17"/>
              </w:rPr>
              <w:t xml:space="preserve">E9</w:t>
            </w:r>
          </w:p>
        </w:tc>
        <w:tc>
          <w:tcPr>
            <w:tcW w:type="dxa" w:w="2506"/>
          </w:tcPr>
          <w:p>
            <w:pPr>
              <w:pStyle w:val="Compact"/>
              <w:jc w:val="left"/>
            </w:pPr>
            <w:r>
              <w:rPr>
                <w:sz w:val="17"/>
              </w:rPr>
              <w:t xml:space="preserve">Food system resilience goes beyond conventional risk management because disturbances may be unforeseen</w:t>
            </w:r>
          </w:p>
        </w:tc>
        <w:tc>
          <w:tcPr>
            <w:tcW w:type="dxa" w:w="1060"/>
          </w:tcPr>
          <w:p>
            <w:pPr>
              <w:pStyle w:val="Compact"/>
              <w:jc w:val="left"/>
            </w:pPr>
            <w:r>
              <w:rPr>
                <w:sz w:val="17"/>
              </w:rPr>
              <w:t xml:space="preserve">Definitions</w:t>
            </w:r>
          </w:p>
        </w:tc>
        <w:tc>
          <w:tcPr>
            <w:tcW w:type="dxa" w:w="1349"/>
          </w:tcPr>
          <w:p>
            <w:pPr>
              <w:pStyle w:val="Compact"/>
              <w:jc w:val="left"/>
            </w:pPr>
            <w:r>
              <w:rPr>
                <w:sz w:val="17"/>
              </w:rPr>
              <w:t xml:space="preserve">Tendall et al. (2015)</w:t>
            </w:r>
          </w:p>
        </w:tc>
        <w:tc>
          <w:tcPr>
            <w:tcW w:type="dxa" w:w="3181"/>
          </w:tcPr>
          <w:p>
            <w:pPr>
              <w:pStyle w:val="Compact"/>
              <w:jc w:val="left"/>
            </w:pPr>
            <w:r>
              <w:rPr>
                <w:sz w:val="17"/>
              </w:rPr>
              <w:t xml:space="preserve">“</w:t>
            </w:r>
            <w:r>
              <w:rPr>
                <w:sz w:val="17"/>
              </w:rPr>
              <w:t xml:space="preserve">resilience extends beyond conventional risk management</w:t>
            </w:r>
            <w:r>
              <w:rPr>
                <w:sz w:val="17"/>
              </w:rPr>
              <w:t xml:space="preserve">”</w:t>
            </w:r>
          </w:p>
        </w:tc>
        <w:tc>
          <w:tcPr>
            <w:tcW w:type="dxa" w:w="964"/>
          </w:tcPr>
          <w:p>
            <w:pPr>
              <w:pStyle w:val="Compact"/>
              <w:jc w:val="left"/>
            </w:pPr>
            <w:r>
              <w:rPr>
                <w:sz w:val="17"/>
              </w:rPr>
              <w:t xml:space="preserve">p. 19</w:t>
            </w:r>
          </w:p>
        </w:tc>
      </w:tr>
      <w:tr>
        <w:tc>
          <w:tcPr>
            <w:tcW w:type="dxa" w:w="578"/>
          </w:tcPr>
          <w:p>
            <w:pPr>
              <w:pStyle w:val="Compact"/>
              <w:jc w:val="left"/>
            </w:pPr>
            <w:r>
              <w:rPr>
                <w:sz w:val="17"/>
              </w:rPr>
              <w:t xml:space="preserve">E10</w:t>
            </w:r>
          </w:p>
        </w:tc>
        <w:tc>
          <w:tcPr>
            <w:tcW w:type="dxa" w:w="2506"/>
          </w:tcPr>
          <w:p>
            <w:pPr>
              <w:pStyle w:val="Compact"/>
              <w:jc w:val="left"/>
            </w:pPr>
            <w:r>
              <w:rPr>
                <w:sz w:val="17"/>
              </w:rPr>
              <w:t xml:space="preserve">Béné et al. shift the definition to the abilities of individual and institutional actors</w:t>
            </w:r>
          </w:p>
        </w:tc>
        <w:tc>
          <w:tcPr>
            <w:tcW w:type="dxa" w:w="1060"/>
          </w:tcPr>
          <w:p>
            <w:pPr>
              <w:pStyle w:val="Compact"/>
              <w:jc w:val="left"/>
            </w:pPr>
            <w:r>
              <w:rPr>
                <w:sz w:val="17"/>
              </w:rPr>
              <w:t xml:space="preserve">Definitions</w:t>
            </w:r>
          </w:p>
        </w:tc>
        <w:tc>
          <w:tcPr>
            <w:tcW w:type="dxa" w:w="1349"/>
          </w:tcPr>
          <w:p>
            <w:pPr>
              <w:pStyle w:val="Compact"/>
              <w:jc w:val="left"/>
            </w:pPr>
            <w:r>
              <w:rPr>
                <w:sz w:val="17"/>
              </w:rPr>
              <w:t xml:space="preserve">Béné et al. (2023)</w:t>
            </w:r>
          </w:p>
        </w:tc>
        <w:tc>
          <w:tcPr>
            <w:tcW w:type="dxa" w:w="3181"/>
          </w:tcPr>
          <w:p>
            <w:pPr>
              <w:pStyle w:val="Compact"/>
              <w:jc w:val="left"/>
            </w:pPr>
            <w:r>
              <w:rPr>
                <w:sz w:val="17"/>
              </w:rPr>
              <w:t xml:space="preserve">“</w:t>
            </w:r>
            <w:r>
              <w:rPr>
                <w:sz w:val="17"/>
              </w:rPr>
              <w:t xml:space="preserve">maintain, protect, or successfully recover the key functions of that system</w:t>
            </w:r>
            <w:r>
              <w:rPr>
                <w:sz w:val="17"/>
              </w:rPr>
              <w:t xml:space="preserve">”</w:t>
            </w:r>
          </w:p>
        </w:tc>
        <w:tc>
          <w:tcPr>
            <w:tcW w:type="dxa" w:w="964"/>
          </w:tcPr>
          <w:p>
            <w:pPr>
              <w:pStyle w:val="Compact"/>
              <w:jc w:val="left"/>
            </w:pPr>
            <w:r>
              <w:rPr>
                <w:sz w:val="17"/>
              </w:rPr>
              <w:t xml:space="preserve">p. 1438</w:t>
            </w:r>
          </w:p>
        </w:tc>
      </w:tr>
      <w:tr>
        <w:tc>
          <w:tcPr>
            <w:tcW w:type="dxa" w:w="578"/>
          </w:tcPr>
          <w:p>
            <w:pPr>
              <w:pStyle w:val="Compact"/>
              <w:jc w:val="left"/>
            </w:pPr>
            <w:r>
              <w:rPr>
                <w:sz w:val="17"/>
              </w:rPr>
              <w:t xml:space="preserve">E11</w:t>
            </w:r>
          </w:p>
        </w:tc>
        <w:tc>
          <w:tcPr>
            <w:tcW w:type="dxa" w:w="2506"/>
          </w:tcPr>
          <w:p>
            <w:pPr>
              <w:pStyle w:val="Compact"/>
              <w:jc w:val="left"/>
            </w:pPr>
            <w:r>
              <w:rPr>
                <w:sz w:val="17"/>
              </w:rPr>
              <w:t xml:space="preserve">At national level, resilience is read as decoupling food-security outcomes from shock severity</w:t>
            </w:r>
          </w:p>
        </w:tc>
        <w:tc>
          <w:tcPr>
            <w:tcW w:type="dxa" w:w="1060"/>
          </w:tcPr>
          <w:p>
            <w:pPr>
              <w:pStyle w:val="Compact"/>
              <w:jc w:val="left"/>
            </w:pPr>
            <w:r>
              <w:rPr>
                <w:sz w:val="17"/>
              </w:rPr>
              <w:t xml:space="preserve">Definitions</w:t>
            </w:r>
          </w:p>
        </w:tc>
        <w:tc>
          <w:tcPr>
            <w:tcW w:type="dxa" w:w="1349"/>
          </w:tcPr>
          <w:p>
            <w:pPr>
              <w:pStyle w:val="Compact"/>
              <w:jc w:val="left"/>
            </w:pPr>
            <w:r>
              <w:rPr>
                <w:sz w:val="17"/>
              </w:rPr>
              <w:t xml:space="preserve">Béné et al. (2026)</w:t>
            </w:r>
          </w:p>
        </w:tc>
        <w:tc>
          <w:tcPr>
            <w:tcW w:type="dxa" w:w="3181"/>
          </w:tcPr>
          <w:p>
            <w:pPr>
              <w:pStyle w:val="Compact"/>
              <w:jc w:val="left"/>
            </w:pPr>
            <w:r>
              <w:rPr>
                <w:sz w:val="17"/>
              </w:rPr>
              <w:t xml:space="preserve">“</w:t>
            </w:r>
            <w:r>
              <w:rPr>
                <w:sz w:val="17"/>
              </w:rPr>
              <w:t xml:space="preserve">the ability to decouple food-security outcomes from shock severity</w:t>
            </w:r>
            <w:r>
              <w:rPr>
                <w:sz w:val="17"/>
              </w:rPr>
              <w:t xml:space="preserve">”</w:t>
            </w:r>
          </w:p>
        </w:tc>
        <w:tc>
          <w:tcPr>
            <w:tcW w:type="dxa" w:w="964"/>
          </w:tcPr>
          <w:p>
            <w:pPr>
              <w:pStyle w:val="Compact"/>
              <w:jc w:val="left"/>
            </w:pPr>
            <w:r>
              <w:rPr>
                <w:sz w:val="17"/>
              </w:rPr>
              <w:t xml:space="preserve">PDF p. 1</w:t>
            </w:r>
          </w:p>
        </w:tc>
      </w:tr>
      <w:tr>
        <w:tc>
          <w:tcPr>
            <w:tcW w:type="dxa" w:w="578"/>
          </w:tcPr>
          <w:p>
            <w:pPr>
              <w:pStyle w:val="Compact"/>
              <w:jc w:val="left"/>
            </w:pPr>
            <w:r>
              <w:rPr>
                <w:sz w:val="17"/>
              </w:rPr>
              <w:t xml:space="preserve">E12</w:t>
            </w:r>
          </w:p>
        </w:tc>
        <w:tc>
          <w:tcPr>
            <w:tcW w:type="dxa" w:w="2506"/>
          </w:tcPr>
          <w:p>
            <w:pPr>
              <w:pStyle w:val="Compact"/>
              <w:jc w:val="left"/>
            </w:pPr>
            <w:r>
              <w:rPr>
                <w:sz w:val="17"/>
              </w:rPr>
              <w:t xml:space="preserve">The HLPE says most approaches stress bouncing back to a pre-disturbance state</w:t>
            </w:r>
          </w:p>
        </w:tc>
        <w:tc>
          <w:tcPr>
            <w:tcW w:type="dxa" w:w="1060"/>
          </w:tcPr>
          <w:p>
            <w:pPr>
              <w:pStyle w:val="Compact"/>
              <w:jc w:val="left"/>
            </w:pPr>
            <w:r>
              <w:rPr>
                <w:sz w:val="17"/>
              </w:rPr>
              <w:t xml:space="preserve">Definitions</w:t>
            </w:r>
          </w:p>
        </w:tc>
        <w:tc>
          <w:tcPr>
            <w:tcW w:type="dxa" w:w="1349"/>
          </w:tcPr>
          <w:p>
            <w:pPr>
              <w:pStyle w:val="Compact"/>
              <w:jc w:val="left"/>
            </w:pPr>
            <w:r>
              <w:rPr>
                <w:sz w:val="17"/>
              </w:rPr>
              <w:t xml:space="preserve">HLPE (2025)</w:t>
            </w:r>
          </w:p>
        </w:tc>
        <w:tc>
          <w:tcPr>
            <w:tcW w:type="dxa" w:w="3181"/>
          </w:tcPr>
          <w:p>
            <w:pPr>
              <w:pStyle w:val="Compact"/>
              <w:jc w:val="left"/>
            </w:pPr>
            <w:r>
              <w:rPr>
                <w:sz w:val="17"/>
              </w:rPr>
              <w:t xml:space="preserve">“</w:t>
            </w:r>
            <w:r>
              <w:rPr>
                <w:sz w:val="17"/>
              </w:rPr>
              <w:t xml:space="preserve">bounce back to restore a predisturbance status</w:t>
            </w:r>
            <w:r>
              <w:rPr>
                <w:sz w:val="17"/>
              </w:rPr>
              <w:t xml:space="preserve">”</w:t>
            </w:r>
          </w:p>
        </w:tc>
        <w:tc>
          <w:tcPr>
            <w:tcW w:type="dxa" w:w="964"/>
          </w:tcPr>
          <w:p>
            <w:pPr>
              <w:pStyle w:val="Compact"/>
              <w:jc w:val="left"/>
            </w:pPr>
            <w:r>
              <w:rPr>
                <w:sz w:val="17"/>
              </w:rPr>
              <w:t xml:space="preserve">p. 24</w:t>
            </w:r>
          </w:p>
        </w:tc>
      </w:tr>
      <w:tr>
        <w:tc>
          <w:tcPr>
            <w:tcW w:type="dxa" w:w="578"/>
          </w:tcPr>
          <w:p>
            <w:pPr>
              <w:pStyle w:val="Compact"/>
              <w:jc w:val="left"/>
            </w:pPr>
            <w:r>
              <w:rPr>
                <w:sz w:val="17"/>
              </w:rPr>
              <w:t xml:space="preserve">E13</w:t>
            </w:r>
          </w:p>
        </w:tc>
        <w:tc>
          <w:tcPr>
            <w:tcW w:type="dxa" w:w="2506"/>
          </w:tcPr>
          <w:p>
            <w:pPr>
              <w:pStyle w:val="Compact"/>
              <w:jc w:val="left"/>
            </w:pPr>
            <w:r>
              <w:rPr>
                <w:sz w:val="17"/>
              </w:rPr>
              <w:t xml:space="preserve">Equitably transformative resilience asks food systems to bounce forward in equitable ways</w:t>
            </w:r>
          </w:p>
        </w:tc>
        <w:tc>
          <w:tcPr>
            <w:tcW w:type="dxa" w:w="1060"/>
          </w:tcPr>
          <w:p>
            <w:pPr>
              <w:pStyle w:val="Compact"/>
              <w:jc w:val="left"/>
            </w:pPr>
            <w:r>
              <w:rPr>
                <w:sz w:val="17"/>
              </w:rPr>
              <w:t xml:space="preserve">Definitions</w:t>
            </w:r>
          </w:p>
        </w:tc>
        <w:tc>
          <w:tcPr>
            <w:tcW w:type="dxa" w:w="1349"/>
          </w:tcPr>
          <w:p>
            <w:pPr>
              <w:pStyle w:val="Compact"/>
              <w:jc w:val="left"/>
            </w:pPr>
            <w:r>
              <w:rPr>
                <w:sz w:val="17"/>
              </w:rPr>
              <w:t xml:space="preserve">HLPE (2025)</w:t>
            </w:r>
          </w:p>
        </w:tc>
        <w:tc>
          <w:tcPr>
            <w:tcW w:type="dxa" w:w="3181"/>
          </w:tcPr>
          <w:p>
            <w:pPr>
              <w:pStyle w:val="Compact"/>
              <w:jc w:val="left"/>
            </w:pPr>
            <w:r>
              <w:rPr>
                <w:sz w:val="17"/>
              </w:rPr>
              <w:t xml:space="preserve">“</w:t>
            </w:r>
            <w:r>
              <w:rPr>
                <w:sz w:val="17"/>
              </w:rPr>
              <w:t xml:space="preserve">requires food systems to bounce forward in equitable ways</w:t>
            </w:r>
            <w:r>
              <w:rPr>
                <w:sz w:val="17"/>
              </w:rPr>
              <w:t xml:space="preserve">”</w:t>
            </w:r>
          </w:p>
        </w:tc>
        <w:tc>
          <w:tcPr>
            <w:tcW w:type="dxa" w:w="964"/>
          </w:tcPr>
          <w:p>
            <w:pPr>
              <w:pStyle w:val="Compact"/>
              <w:jc w:val="left"/>
            </w:pPr>
            <w:r>
              <w:rPr>
                <w:sz w:val="17"/>
              </w:rPr>
              <w:t xml:space="preserve">p. 32</w:t>
            </w:r>
          </w:p>
        </w:tc>
      </w:tr>
      <w:tr>
        <w:tc>
          <w:tcPr>
            <w:tcW w:type="dxa" w:w="578"/>
          </w:tcPr>
          <w:p>
            <w:pPr>
              <w:pStyle w:val="Compact"/>
              <w:jc w:val="left"/>
            </w:pPr>
            <w:r>
              <w:rPr>
                <w:sz w:val="17"/>
              </w:rPr>
              <w:t xml:space="preserve">E14</w:t>
            </w:r>
          </w:p>
        </w:tc>
        <w:tc>
          <w:tcPr>
            <w:tcW w:type="dxa" w:w="2506"/>
          </w:tcPr>
          <w:p>
            <w:pPr>
              <w:pStyle w:val="Compact"/>
              <w:jc w:val="left"/>
            </w:pPr>
            <w:r>
              <w:rPr>
                <w:sz w:val="17"/>
              </w:rPr>
              <w:t xml:space="preserve">A resilient food system is safe-fail rather than fail-safe</w:t>
            </w:r>
          </w:p>
        </w:tc>
        <w:tc>
          <w:tcPr>
            <w:tcW w:type="dxa" w:w="1060"/>
          </w:tcPr>
          <w:p>
            <w:pPr>
              <w:pStyle w:val="Compact"/>
              <w:jc w:val="left"/>
            </w:pPr>
            <w:r>
              <w:rPr>
                <w:sz w:val="17"/>
              </w:rPr>
              <w:t xml:space="preserve">Definitions</w:t>
            </w:r>
          </w:p>
        </w:tc>
        <w:tc>
          <w:tcPr>
            <w:tcW w:type="dxa" w:w="1349"/>
          </w:tcPr>
          <w:p>
            <w:pPr>
              <w:pStyle w:val="Compact"/>
              <w:jc w:val="left"/>
            </w:pPr>
            <w:r>
              <w:rPr>
                <w:sz w:val="17"/>
              </w:rPr>
              <w:t xml:space="preserve">Tendall et al. (2015)</w:t>
            </w:r>
          </w:p>
        </w:tc>
        <w:tc>
          <w:tcPr>
            <w:tcW w:type="dxa" w:w="3181"/>
          </w:tcPr>
          <w:p>
            <w:pPr>
              <w:pStyle w:val="Compact"/>
              <w:jc w:val="left"/>
            </w:pPr>
            <w:r>
              <w:rPr>
                <w:sz w:val="17"/>
              </w:rPr>
              <w:t xml:space="preserve">“</w:t>
            </w:r>
            <w:r>
              <w:rPr>
                <w:sz w:val="17"/>
              </w:rPr>
              <w:t xml:space="preserve">a safe-fail food system than a fail-safe food system</w:t>
            </w:r>
            <w:r>
              <w:rPr>
                <w:sz w:val="17"/>
              </w:rPr>
              <w:t xml:space="preserve">”</w:t>
            </w:r>
          </w:p>
        </w:tc>
        <w:tc>
          <w:tcPr>
            <w:tcW w:type="dxa" w:w="964"/>
          </w:tcPr>
          <w:p>
            <w:pPr>
              <w:pStyle w:val="Compact"/>
              <w:jc w:val="left"/>
            </w:pPr>
            <w:r>
              <w:rPr>
                <w:sz w:val="17"/>
              </w:rPr>
              <w:t xml:space="preserve">p. 20</w:t>
            </w:r>
          </w:p>
        </w:tc>
      </w:tr>
      <w:tr>
        <w:tc>
          <w:tcPr>
            <w:tcW w:type="dxa" w:w="578"/>
          </w:tcPr>
          <w:p>
            <w:pPr>
              <w:pStyle w:val="Compact"/>
              <w:jc w:val="left"/>
            </w:pPr>
            <w:r>
              <w:rPr>
                <w:sz w:val="17"/>
              </w:rPr>
              <w:t xml:space="preserve">E15</w:t>
            </w:r>
          </w:p>
        </w:tc>
        <w:tc>
          <w:tcPr>
            <w:tcW w:type="dxa" w:w="2506"/>
          </w:tcPr>
          <w:p>
            <w:pPr>
              <w:pStyle w:val="Compact"/>
              <w:jc w:val="left"/>
            </w:pPr>
            <w:r>
              <w:rPr>
                <w:sz w:val="17"/>
              </w:rPr>
              <w:t xml:space="preserve">Robustness is the capacity to withstand a disturbance before food security is lost</w:t>
            </w:r>
          </w:p>
        </w:tc>
        <w:tc>
          <w:tcPr>
            <w:tcW w:type="dxa" w:w="1060"/>
          </w:tcPr>
          <w:p>
            <w:pPr>
              <w:pStyle w:val="Compact"/>
              <w:jc w:val="left"/>
            </w:pPr>
            <w:r>
              <w:rPr>
                <w:sz w:val="17"/>
              </w:rPr>
              <w:t xml:space="preserve">Features</w:t>
            </w:r>
          </w:p>
        </w:tc>
        <w:tc>
          <w:tcPr>
            <w:tcW w:type="dxa" w:w="1349"/>
          </w:tcPr>
          <w:p>
            <w:pPr>
              <w:pStyle w:val="Compact"/>
              <w:jc w:val="left"/>
            </w:pPr>
            <w:r>
              <w:rPr>
                <w:sz w:val="17"/>
              </w:rPr>
              <w:t xml:space="preserve">Tendall et al. (2015)</w:t>
            </w:r>
          </w:p>
        </w:tc>
        <w:tc>
          <w:tcPr>
            <w:tcW w:type="dxa" w:w="3181"/>
          </w:tcPr>
          <w:p>
            <w:pPr>
              <w:pStyle w:val="Compact"/>
              <w:jc w:val="left"/>
            </w:pPr>
            <w:r>
              <w:rPr>
                <w:sz w:val="17"/>
              </w:rPr>
              <w:t xml:space="preserve">“</w:t>
            </w:r>
            <w:r>
              <w:rPr>
                <w:sz w:val="17"/>
              </w:rPr>
              <w:t xml:space="preserve">the capacity to withstand the disturbance in the first place</w:t>
            </w:r>
            <w:r>
              <w:rPr>
                <w:sz w:val="17"/>
              </w:rPr>
              <w:t xml:space="preserve">”</w:t>
            </w:r>
          </w:p>
        </w:tc>
        <w:tc>
          <w:tcPr>
            <w:tcW w:type="dxa" w:w="964"/>
          </w:tcPr>
          <w:p>
            <w:pPr>
              <w:pStyle w:val="Compact"/>
              <w:jc w:val="left"/>
            </w:pPr>
            <w:r>
              <w:rPr>
                <w:sz w:val="17"/>
              </w:rPr>
              <w:t xml:space="preserve">p. 19</w:t>
            </w:r>
          </w:p>
        </w:tc>
      </w:tr>
      <w:tr>
        <w:tc>
          <w:tcPr>
            <w:tcW w:type="dxa" w:w="578"/>
          </w:tcPr>
          <w:p>
            <w:pPr>
              <w:pStyle w:val="Compact"/>
              <w:jc w:val="left"/>
            </w:pPr>
            <w:r>
              <w:rPr>
                <w:sz w:val="17"/>
              </w:rPr>
              <w:t xml:space="preserve">E16</w:t>
            </w:r>
          </w:p>
        </w:tc>
        <w:tc>
          <w:tcPr>
            <w:tcW w:type="dxa" w:w="2506"/>
          </w:tcPr>
          <w:p>
            <w:pPr>
              <w:pStyle w:val="Compact"/>
              <w:jc w:val="left"/>
            </w:pPr>
            <w:r>
              <w:rPr>
                <w:sz w:val="17"/>
              </w:rPr>
              <w:t xml:space="preserve">Redundancy is the extent to which system elements are replaceable</w:t>
            </w:r>
          </w:p>
        </w:tc>
        <w:tc>
          <w:tcPr>
            <w:tcW w:type="dxa" w:w="1060"/>
          </w:tcPr>
          <w:p>
            <w:pPr>
              <w:pStyle w:val="Compact"/>
              <w:jc w:val="left"/>
            </w:pPr>
            <w:r>
              <w:rPr>
                <w:sz w:val="17"/>
              </w:rPr>
              <w:t xml:space="preserve">Features</w:t>
            </w:r>
          </w:p>
        </w:tc>
        <w:tc>
          <w:tcPr>
            <w:tcW w:type="dxa" w:w="1349"/>
          </w:tcPr>
          <w:p>
            <w:pPr>
              <w:pStyle w:val="Compact"/>
              <w:jc w:val="left"/>
            </w:pPr>
            <w:r>
              <w:rPr>
                <w:sz w:val="17"/>
              </w:rPr>
              <w:t xml:space="preserve">Tendall et al. (2015)</w:t>
            </w:r>
          </w:p>
        </w:tc>
        <w:tc>
          <w:tcPr>
            <w:tcW w:type="dxa" w:w="3181"/>
          </w:tcPr>
          <w:p>
            <w:pPr>
              <w:pStyle w:val="Compact"/>
              <w:jc w:val="left"/>
            </w:pPr>
            <w:r>
              <w:rPr>
                <w:sz w:val="17"/>
              </w:rPr>
              <w:t xml:space="preserve">“</w:t>
            </w:r>
            <w:r>
              <w:rPr>
                <w:sz w:val="17"/>
              </w:rPr>
              <w:t xml:space="preserve">the extent to which elements of the system are replaceable</w:t>
            </w:r>
            <w:r>
              <w:rPr>
                <w:sz w:val="17"/>
              </w:rPr>
              <w:t xml:space="preserve">”</w:t>
            </w:r>
          </w:p>
        </w:tc>
        <w:tc>
          <w:tcPr>
            <w:tcW w:type="dxa" w:w="964"/>
          </w:tcPr>
          <w:p>
            <w:pPr>
              <w:pStyle w:val="Compact"/>
              <w:jc w:val="left"/>
            </w:pPr>
            <w:r>
              <w:rPr>
                <w:sz w:val="17"/>
              </w:rPr>
              <w:t xml:space="preserve">p. 19</w:t>
            </w:r>
          </w:p>
        </w:tc>
      </w:tr>
      <w:tr>
        <w:tc>
          <w:tcPr>
            <w:tcW w:type="dxa" w:w="578"/>
          </w:tcPr>
          <w:p>
            <w:pPr>
              <w:pStyle w:val="Compact"/>
              <w:jc w:val="left"/>
            </w:pPr>
            <w:r>
              <w:rPr>
                <w:sz w:val="17"/>
              </w:rPr>
              <w:t xml:space="preserve">E17</w:t>
            </w:r>
          </w:p>
        </w:tc>
        <w:tc>
          <w:tcPr>
            <w:tcW w:type="dxa" w:w="2506"/>
          </w:tcPr>
          <w:p>
            <w:pPr>
              <w:pStyle w:val="Compact"/>
              <w:jc w:val="left"/>
            </w:pPr>
            <w:r>
              <w:rPr>
                <w:sz w:val="17"/>
              </w:rPr>
              <w:t xml:space="preserve">Actor capacities are combined with system-level emergent properties</w:t>
            </w:r>
          </w:p>
        </w:tc>
        <w:tc>
          <w:tcPr>
            <w:tcW w:type="dxa" w:w="1060"/>
          </w:tcPr>
          <w:p>
            <w:pPr>
              <w:pStyle w:val="Compact"/>
              <w:jc w:val="left"/>
            </w:pPr>
            <w:r>
              <w:rPr>
                <w:sz w:val="17"/>
              </w:rPr>
              <w:t xml:space="preserve">Features</w:t>
            </w:r>
          </w:p>
        </w:tc>
        <w:tc>
          <w:tcPr>
            <w:tcW w:type="dxa" w:w="1349"/>
          </w:tcPr>
          <w:p>
            <w:pPr>
              <w:pStyle w:val="Compact"/>
              <w:jc w:val="left"/>
            </w:pPr>
            <w:r>
              <w:rPr>
                <w:sz w:val="17"/>
              </w:rPr>
              <w:t xml:space="preserve">Béné et al. (2026)</w:t>
            </w:r>
          </w:p>
        </w:tc>
        <w:tc>
          <w:tcPr>
            <w:tcW w:type="dxa" w:w="3181"/>
          </w:tcPr>
          <w:p>
            <w:pPr>
              <w:pStyle w:val="Compact"/>
              <w:jc w:val="left"/>
            </w:pPr>
            <w:r>
              <w:rPr>
                <w:sz w:val="17"/>
              </w:rPr>
              <w:t xml:space="preserve">“</w:t>
            </w:r>
            <w:r>
              <w:rPr>
                <w:sz w:val="17"/>
              </w:rPr>
              <w:t xml:space="preserve">connectivity, redundancy, diversity, competitiveness/rule of law, and inclusiveness</w:t>
            </w:r>
            <w:r>
              <w:rPr>
                <w:sz w:val="17"/>
              </w:rPr>
              <w:t xml:space="preserve">”</w:t>
            </w:r>
          </w:p>
        </w:tc>
        <w:tc>
          <w:tcPr>
            <w:tcW w:type="dxa" w:w="964"/>
          </w:tcPr>
          <w:p>
            <w:pPr>
              <w:pStyle w:val="Compact"/>
              <w:jc w:val="left"/>
            </w:pPr>
            <w:r>
              <w:rPr>
                <w:sz w:val="17"/>
              </w:rPr>
              <w:t xml:space="preserve">PDF p. 3</w:t>
            </w:r>
          </w:p>
        </w:tc>
      </w:tr>
      <w:tr>
        <w:tc>
          <w:tcPr>
            <w:tcW w:type="dxa" w:w="578"/>
          </w:tcPr>
          <w:p>
            <w:pPr>
              <w:pStyle w:val="Compact"/>
              <w:jc w:val="left"/>
            </w:pPr>
            <w:r>
              <w:rPr>
                <w:sz w:val="17"/>
              </w:rPr>
              <w:t xml:space="preserve">E18</w:t>
            </w:r>
          </w:p>
        </w:tc>
        <w:tc>
          <w:tcPr>
            <w:tcW w:type="dxa" w:w="2506"/>
          </w:tcPr>
          <w:p>
            <w:pPr>
              <w:pStyle w:val="Compact"/>
              <w:jc w:val="left"/>
            </w:pPr>
            <w:r>
              <w:rPr>
                <w:sz w:val="17"/>
              </w:rPr>
              <w:t xml:space="preserve">The global food system rests on very few crops and is therefore fragile</w:t>
            </w:r>
          </w:p>
        </w:tc>
        <w:tc>
          <w:tcPr>
            <w:tcW w:type="dxa" w:w="1060"/>
          </w:tcPr>
          <w:p>
            <w:pPr>
              <w:pStyle w:val="Compact"/>
              <w:jc w:val="left"/>
            </w:pPr>
            <w:r>
              <w:rPr>
                <w:sz w:val="17"/>
              </w:rPr>
              <w:t xml:space="preserve">Features</w:t>
            </w:r>
          </w:p>
        </w:tc>
        <w:tc>
          <w:tcPr>
            <w:tcW w:type="dxa" w:w="1349"/>
          </w:tcPr>
          <w:p>
            <w:pPr>
              <w:pStyle w:val="Compact"/>
              <w:jc w:val="left"/>
            </w:pPr>
            <w:r>
              <w:rPr>
                <w:sz w:val="17"/>
              </w:rPr>
              <w:t xml:space="preserve">Puma (2019)</w:t>
            </w:r>
          </w:p>
        </w:tc>
        <w:tc>
          <w:tcPr>
            <w:tcW w:type="dxa" w:w="3181"/>
          </w:tcPr>
          <w:p>
            <w:pPr>
              <w:pStyle w:val="Compact"/>
              <w:jc w:val="left"/>
            </w:pPr>
            <w:r>
              <w:rPr>
                <w:sz w:val="17"/>
              </w:rPr>
              <w:t xml:space="preserve">“</w:t>
            </w:r>
            <w:r>
              <w:rPr>
                <w:sz w:val="17"/>
              </w:rPr>
              <w:t xml:space="preserve">the global food system is also alarmingly simple</w:t>
            </w:r>
            <w:r>
              <w:rPr>
                <w:sz w:val="17"/>
              </w:rPr>
              <w:t xml:space="preserve">”</w:t>
            </w:r>
          </w:p>
        </w:tc>
        <w:tc>
          <w:tcPr>
            <w:tcW w:type="dxa" w:w="964"/>
          </w:tcPr>
          <w:p>
            <w:pPr>
              <w:pStyle w:val="Compact"/>
              <w:jc w:val="left"/>
            </w:pPr>
            <w:r>
              <w:rPr>
                <w:sz w:val="17"/>
              </w:rPr>
              <w:t xml:space="preserve">p. 260</w:t>
            </w:r>
          </w:p>
        </w:tc>
      </w:tr>
      <w:tr>
        <w:tc>
          <w:tcPr>
            <w:tcW w:type="dxa" w:w="578"/>
          </w:tcPr>
          <w:p>
            <w:pPr>
              <w:pStyle w:val="Compact"/>
              <w:jc w:val="left"/>
            </w:pPr>
            <w:r>
              <w:rPr>
                <w:sz w:val="17"/>
              </w:rPr>
              <w:t xml:space="preserve">E19</w:t>
            </w:r>
          </w:p>
        </w:tc>
        <w:tc>
          <w:tcPr>
            <w:tcW w:type="dxa" w:w="2506"/>
          </w:tcPr>
          <w:p>
            <w:pPr>
              <w:pStyle w:val="Compact"/>
              <w:jc w:val="left"/>
            </w:pPr>
            <w:r>
              <w:rPr>
                <w:sz w:val="17"/>
              </w:rPr>
              <w:t xml:space="preserve">Across 191 countries, diversified food supply buffered shocks</w:t>
            </w:r>
          </w:p>
        </w:tc>
        <w:tc>
          <w:tcPr>
            <w:tcW w:type="dxa" w:w="1060"/>
          </w:tcPr>
          <w:p>
            <w:pPr>
              <w:pStyle w:val="Compact"/>
              <w:jc w:val="left"/>
            </w:pPr>
            <w:r>
              <w:rPr>
                <w:sz w:val="17"/>
              </w:rPr>
              <w:t xml:space="preserve">Features</w:t>
            </w:r>
          </w:p>
        </w:tc>
        <w:tc>
          <w:tcPr>
            <w:tcW w:type="dxa" w:w="1349"/>
          </w:tcPr>
          <w:p>
            <w:pPr>
              <w:pStyle w:val="Compact"/>
              <w:jc w:val="left"/>
            </w:pPr>
            <w:r>
              <w:rPr>
                <w:sz w:val="17"/>
              </w:rPr>
              <w:t xml:space="preserve">Béné et al. (2026)</w:t>
            </w:r>
          </w:p>
        </w:tc>
        <w:tc>
          <w:tcPr>
            <w:tcW w:type="dxa" w:w="3181"/>
          </w:tcPr>
          <w:p>
            <w:pPr>
              <w:pStyle w:val="Compact"/>
              <w:jc w:val="left"/>
            </w:pPr>
            <w:r>
              <w:rPr>
                <w:sz w:val="17"/>
              </w:rPr>
              <w:t xml:space="preserve">“</w:t>
            </w:r>
            <w:r>
              <w:rPr>
                <w:sz w:val="17"/>
              </w:rPr>
              <w:t xml:space="preserve">one of the first empirical demonstrations of the buffering effect of redundancy</w:t>
            </w:r>
            <w:r>
              <w:rPr>
                <w:sz w:val="17"/>
              </w:rPr>
              <w:t xml:space="preserve">”</w:t>
            </w:r>
          </w:p>
        </w:tc>
        <w:tc>
          <w:tcPr>
            <w:tcW w:type="dxa" w:w="964"/>
          </w:tcPr>
          <w:p>
            <w:pPr>
              <w:pStyle w:val="Compact"/>
              <w:jc w:val="left"/>
            </w:pPr>
            <w:r>
              <w:rPr>
                <w:sz w:val="17"/>
              </w:rPr>
              <w:t xml:space="preserve">PDF p. 8</w:t>
            </w:r>
          </w:p>
        </w:tc>
      </w:tr>
      <w:tr>
        <w:tc>
          <w:tcPr>
            <w:tcW w:type="dxa" w:w="578"/>
          </w:tcPr>
          <w:p>
            <w:pPr>
              <w:pStyle w:val="Compact"/>
              <w:jc w:val="left"/>
            </w:pPr>
            <w:r>
              <w:rPr>
                <w:sz w:val="17"/>
              </w:rPr>
              <w:t xml:space="preserve">E20</w:t>
            </w:r>
          </w:p>
        </w:tc>
        <w:tc>
          <w:tcPr>
            <w:tcW w:type="dxa" w:w="2506"/>
          </w:tcPr>
          <w:p>
            <w:pPr>
              <w:pStyle w:val="Compact"/>
              <w:jc w:val="left"/>
            </w:pPr>
            <w:r>
              <w:rPr>
                <w:sz w:val="17"/>
              </w:rPr>
              <w:t xml:space="preserve">Government effectiveness mitigated shocks across disaster types</w:t>
            </w:r>
          </w:p>
        </w:tc>
        <w:tc>
          <w:tcPr>
            <w:tcW w:type="dxa" w:w="1060"/>
          </w:tcPr>
          <w:p>
            <w:pPr>
              <w:pStyle w:val="Compact"/>
              <w:jc w:val="left"/>
            </w:pPr>
            <w:r>
              <w:rPr>
                <w:sz w:val="17"/>
              </w:rPr>
              <w:t xml:space="preserve">Features</w:t>
            </w:r>
          </w:p>
        </w:tc>
        <w:tc>
          <w:tcPr>
            <w:tcW w:type="dxa" w:w="1349"/>
          </w:tcPr>
          <w:p>
            <w:pPr>
              <w:pStyle w:val="Compact"/>
              <w:jc w:val="left"/>
            </w:pPr>
            <w:r>
              <w:rPr>
                <w:sz w:val="17"/>
              </w:rPr>
              <w:t xml:space="preserve">Béné et al. (2026)</w:t>
            </w:r>
          </w:p>
        </w:tc>
        <w:tc>
          <w:tcPr>
            <w:tcW w:type="dxa" w:w="3181"/>
          </w:tcPr>
          <w:p>
            <w:pPr>
              <w:pStyle w:val="Compact"/>
              <w:jc w:val="left"/>
            </w:pPr>
            <w:r>
              <w:rPr>
                <w:sz w:val="17"/>
              </w:rPr>
              <w:t xml:space="preserve">“</w:t>
            </w:r>
            <w:r>
              <w:rPr>
                <w:sz w:val="17"/>
              </w:rPr>
              <w:t xml:space="preserve">reinforcing its centrality in strengthening food system resilience</w:t>
            </w:r>
            <w:r>
              <w:rPr>
                <w:sz w:val="17"/>
              </w:rPr>
              <w:t xml:space="preserve">”</w:t>
            </w:r>
          </w:p>
        </w:tc>
        <w:tc>
          <w:tcPr>
            <w:tcW w:type="dxa" w:w="964"/>
          </w:tcPr>
          <w:p>
            <w:pPr>
              <w:pStyle w:val="Compact"/>
              <w:jc w:val="left"/>
            </w:pPr>
            <w:r>
              <w:rPr>
                <w:sz w:val="17"/>
              </w:rPr>
              <w:t xml:space="preserve">PDF p. 8</w:t>
            </w:r>
          </w:p>
        </w:tc>
      </w:tr>
      <w:tr>
        <w:tc>
          <w:tcPr>
            <w:tcW w:type="dxa" w:w="578"/>
          </w:tcPr>
          <w:p>
            <w:pPr>
              <w:pStyle w:val="Compact"/>
              <w:jc w:val="left"/>
            </w:pPr>
            <w:r>
              <w:rPr>
                <w:sz w:val="17"/>
              </w:rPr>
              <w:t xml:space="preserve">E21</w:t>
            </w:r>
          </w:p>
        </w:tc>
        <w:tc>
          <w:tcPr>
            <w:tcW w:type="dxa" w:w="2506"/>
          </w:tcPr>
          <w:p>
            <w:pPr>
              <w:pStyle w:val="Compact"/>
              <w:jc w:val="left"/>
            </w:pPr>
            <w:r>
              <w:rPr>
                <w:sz w:val="17"/>
              </w:rPr>
              <w:t xml:space="preserve">Equity and justice are neglected in food security research</w:t>
            </w:r>
          </w:p>
        </w:tc>
        <w:tc>
          <w:tcPr>
            <w:tcW w:type="dxa" w:w="1060"/>
          </w:tcPr>
          <w:p>
            <w:pPr>
              <w:pStyle w:val="Compact"/>
              <w:jc w:val="left"/>
            </w:pPr>
            <w:r>
              <w:rPr>
                <w:sz w:val="17"/>
              </w:rPr>
              <w:t xml:space="preserve">Features</w:t>
            </w:r>
          </w:p>
        </w:tc>
        <w:tc>
          <w:tcPr>
            <w:tcW w:type="dxa" w:w="1349"/>
          </w:tcPr>
          <w:p>
            <w:pPr>
              <w:pStyle w:val="Compact"/>
              <w:jc w:val="left"/>
            </w:pPr>
            <w:r>
              <w:rPr>
                <w:sz w:val="17"/>
              </w:rPr>
              <w:t xml:space="preserve">Schipanski et al. (2016)</w:t>
            </w:r>
          </w:p>
        </w:tc>
        <w:tc>
          <w:tcPr>
            <w:tcW w:type="dxa" w:w="3181"/>
          </w:tcPr>
          <w:p>
            <w:pPr>
              <w:pStyle w:val="Compact"/>
              <w:jc w:val="left"/>
            </w:pPr>
            <w:r>
              <w:rPr>
                <w:sz w:val="17"/>
              </w:rPr>
              <w:t xml:space="preserve">“</w:t>
            </w:r>
            <w:r>
              <w:rPr>
                <w:sz w:val="17"/>
              </w:rPr>
              <w:t xml:space="preserve">less than 6% of food security publications over the past 25 years</w:t>
            </w:r>
            <w:r>
              <w:rPr>
                <w:sz w:val="17"/>
              </w:rPr>
              <w:t xml:space="preserve">”</w:t>
            </w:r>
          </w:p>
        </w:tc>
        <w:tc>
          <w:tcPr>
            <w:tcW w:type="dxa" w:w="964"/>
          </w:tcPr>
          <w:p>
            <w:pPr>
              <w:pStyle w:val="Compact"/>
              <w:jc w:val="left"/>
            </w:pPr>
            <w:r>
              <w:rPr>
                <w:sz w:val="17"/>
              </w:rPr>
              <w:t xml:space="preserve">p. 602</w:t>
            </w:r>
          </w:p>
        </w:tc>
      </w:tr>
      <w:tr>
        <w:tc>
          <w:tcPr>
            <w:tcW w:type="dxa" w:w="578"/>
          </w:tcPr>
          <w:p>
            <w:pPr>
              <w:pStyle w:val="Compact"/>
              <w:jc w:val="left"/>
            </w:pPr>
            <w:r>
              <w:rPr>
                <w:sz w:val="17"/>
              </w:rPr>
              <w:t xml:space="preserve">E22</w:t>
            </w:r>
          </w:p>
        </w:tc>
        <w:tc>
          <w:tcPr>
            <w:tcW w:type="dxa" w:w="2506"/>
          </w:tcPr>
          <w:p>
            <w:pPr>
              <w:pStyle w:val="Compact"/>
              <w:jc w:val="left"/>
            </w:pPr>
            <w:r>
              <w:rPr>
                <w:sz w:val="17"/>
              </w:rPr>
              <w:t xml:space="preserve">Resilience also depends on people’s perceptions of their own ability to respond</w:t>
            </w:r>
          </w:p>
        </w:tc>
        <w:tc>
          <w:tcPr>
            <w:tcW w:type="dxa" w:w="1060"/>
          </w:tcPr>
          <w:p>
            <w:pPr>
              <w:pStyle w:val="Compact"/>
              <w:jc w:val="left"/>
            </w:pPr>
            <w:r>
              <w:rPr>
                <w:sz w:val="17"/>
              </w:rPr>
              <w:t xml:space="preserve">Features</w:t>
            </w:r>
          </w:p>
        </w:tc>
        <w:tc>
          <w:tcPr>
            <w:tcW w:type="dxa" w:w="1349"/>
          </w:tcPr>
          <w:p>
            <w:pPr>
              <w:pStyle w:val="Compact"/>
              <w:jc w:val="left"/>
            </w:pPr>
            <w:r>
              <w:rPr>
                <w:sz w:val="17"/>
              </w:rPr>
              <w:t xml:space="preserve">Béné et al. (2016)</w:t>
            </w:r>
          </w:p>
        </w:tc>
        <w:tc>
          <w:tcPr>
            <w:tcW w:type="dxa" w:w="3181"/>
          </w:tcPr>
          <w:p>
            <w:pPr>
              <w:pStyle w:val="Compact"/>
              <w:jc w:val="left"/>
            </w:pPr>
            <w:r>
              <w:rPr>
                <w:sz w:val="17"/>
              </w:rPr>
              <w:t xml:space="preserve">“</w:t>
            </w:r>
            <w:r>
              <w:rPr>
                <w:sz w:val="17"/>
              </w:rPr>
              <w:t xml:space="preserve">perceptions of their ability to cope, adapt or transform</w:t>
            </w:r>
            <w:r>
              <w:rPr>
                <w:sz w:val="17"/>
              </w:rPr>
              <w:t xml:space="preserve">”</w:t>
            </w:r>
          </w:p>
        </w:tc>
        <w:tc>
          <w:tcPr>
            <w:tcW w:type="dxa" w:w="964"/>
          </w:tcPr>
          <w:p>
            <w:pPr>
              <w:pStyle w:val="Compact"/>
              <w:jc w:val="left"/>
            </w:pPr>
            <w:r>
              <w:rPr>
                <w:sz w:val="17"/>
              </w:rPr>
              <w:t xml:space="preserve">p. 153</w:t>
            </w:r>
          </w:p>
        </w:tc>
      </w:tr>
      <w:tr>
        <w:tc>
          <w:tcPr>
            <w:tcW w:type="dxa" w:w="578"/>
          </w:tcPr>
          <w:p>
            <w:pPr>
              <w:pStyle w:val="Compact"/>
              <w:jc w:val="left"/>
            </w:pPr>
            <w:r>
              <w:rPr>
                <w:sz w:val="17"/>
              </w:rPr>
              <w:t xml:space="preserve">E23</w:t>
            </w:r>
          </w:p>
        </w:tc>
        <w:tc>
          <w:tcPr>
            <w:tcW w:type="dxa" w:w="2506"/>
          </w:tcPr>
          <w:p>
            <w:pPr>
              <w:pStyle w:val="Compact"/>
              <w:jc w:val="left"/>
            </w:pPr>
            <w:r>
              <w:rPr>
                <w:sz w:val="17"/>
              </w:rPr>
              <w:t xml:space="preserve">Béné et al.’s measurement framework starts by mapping actors and the local food system</w:t>
            </w:r>
          </w:p>
        </w:tc>
        <w:tc>
          <w:tcPr>
            <w:tcW w:type="dxa" w:w="1060"/>
          </w:tcPr>
          <w:p>
            <w:pPr>
              <w:pStyle w:val="Compact"/>
              <w:jc w:val="left"/>
            </w:pPr>
            <w:r>
              <w:rPr>
                <w:sz w:val="17"/>
              </w:rPr>
              <w:t xml:space="preserve">Features</w:t>
            </w:r>
          </w:p>
        </w:tc>
        <w:tc>
          <w:tcPr>
            <w:tcW w:type="dxa" w:w="1349"/>
          </w:tcPr>
          <w:p>
            <w:pPr>
              <w:pStyle w:val="Compact"/>
              <w:jc w:val="left"/>
            </w:pPr>
            <w:r>
              <w:rPr>
                <w:sz w:val="17"/>
              </w:rPr>
              <w:t xml:space="preserve">Béné et al. (2023)</w:t>
            </w:r>
          </w:p>
        </w:tc>
        <w:tc>
          <w:tcPr>
            <w:tcW w:type="dxa" w:w="3181"/>
          </w:tcPr>
          <w:p>
            <w:pPr>
              <w:pStyle w:val="Compact"/>
              <w:jc w:val="left"/>
            </w:pPr>
            <w:r>
              <w:rPr>
                <w:sz w:val="17"/>
              </w:rPr>
              <w:t xml:space="preserve">“</w:t>
            </w:r>
            <w:r>
              <w:rPr>
                <w:sz w:val="17"/>
              </w:rPr>
              <w:t xml:space="preserve">the mapping of the actors and the local food system</w:t>
            </w:r>
            <w:r>
              <w:rPr>
                <w:sz w:val="17"/>
              </w:rPr>
              <w:t xml:space="preserve">”</w:t>
            </w:r>
          </w:p>
        </w:tc>
        <w:tc>
          <w:tcPr>
            <w:tcW w:type="dxa" w:w="964"/>
          </w:tcPr>
          <w:p>
            <w:pPr>
              <w:pStyle w:val="Compact"/>
              <w:jc w:val="left"/>
            </w:pPr>
            <w:r>
              <w:rPr>
                <w:sz w:val="17"/>
              </w:rPr>
              <w:t xml:space="preserve">p. 1437</w:t>
            </w:r>
          </w:p>
        </w:tc>
      </w:tr>
      <w:tr>
        <w:tc>
          <w:tcPr>
            <w:tcW w:type="dxa" w:w="578"/>
          </w:tcPr>
          <w:p>
            <w:pPr>
              <w:pStyle w:val="Compact"/>
              <w:jc w:val="left"/>
            </w:pPr>
            <w:r>
              <w:rPr>
                <w:sz w:val="17"/>
              </w:rPr>
              <w:t xml:space="preserve">E24</w:t>
            </w:r>
          </w:p>
        </w:tc>
        <w:tc>
          <w:tcPr>
            <w:tcW w:type="dxa" w:w="2506"/>
          </w:tcPr>
          <w:p>
            <w:pPr>
              <w:pStyle w:val="Compact"/>
              <w:jc w:val="left"/>
            </w:pPr>
            <w:r>
              <w:rPr>
                <w:sz w:val="17"/>
              </w:rPr>
              <w:t xml:space="preserve">Most quantitative studies model robustness, not transformability</w:t>
            </w:r>
          </w:p>
        </w:tc>
        <w:tc>
          <w:tcPr>
            <w:tcW w:type="dxa" w:w="1060"/>
          </w:tcPr>
          <w:p>
            <w:pPr>
              <w:pStyle w:val="Compact"/>
              <w:jc w:val="left"/>
            </w:pPr>
            <w:r>
              <w:rPr>
                <w:sz w:val="17"/>
              </w:rPr>
              <w:t xml:space="preserve">Features</w:t>
            </w:r>
          </w:p>
        </w:tc>
        <w:tc>
          <w:tcPr>
            <w:tcW w:type="dxa" w:w="1349"/>
          </w:tcPr>
          <w:p>
            <w:pPr>
              <w:pStyle w:val="Compact"/>
              <w:jc w:val="left"/>
            </w:pPr>
            <w:r>
              <w:rPr>
                <w:sz w:val="17"/>
              </w:rPr>
              <w:t xml:space="preserve">Meyer (2020)</w:t>
            </w:r>
          </w:p>
        </w:tc>
        <w:tc>
          <w:tcPr>
            <w:tcW w:type="dxa" w:w="3181"/>
          </w:tcPr>
          <w:p>
            <w:pPr>
              <w:pStyle w:val="Compact"/>
              <w:jc w:val="left"/>
            </w:pPr>
            <w:r>
              <w:rPr>
                <w:sz w:val="17"/>
              </w:rPr>
              <w:t xml:space="preserve">“</w:t>
            </w:r>
            <w:r>
              <w:rPr>
                <w:sz w:val="17"/>
              </w:rPr>
              <w:t xml:space="preserve">most studies model the robustness of food systems and not their transformability</w:t>
            </w:r>
            <w:r>
              <w:rPr>
                <w:sz w:val="17"/>
              </w:rPr>
              <w:t xml:space="preserve">”</w:t>
            </w:r>
          </w:p>
        </w:tc>
        <w:tc>
          <w:tcPr>
            <w:tcW w:type="dxa" w:w="964"/>
          </w:tcPr>
          <w:p>
            <w:pPr>
              <w:pStyle w:val="Compact"/>
              <w:jc w:val="left"/>
            </w:pPr>
            <w:r>
              <w:rPr>
                <w:sz w:val="17"/>
              </w:rPr>
              <w:t xml:space="preserve">PDF p. 1</w:t>
            </w:r>
          </w:p>
        </w:tc>
      </w:tr>
      <w:tr>
        <w:tc>
          <w:tcPr>
            <w:tcW w:type="dxa" w:w="578"/>
          </w:tcPr>
          <w:p>
            <w:pPr>
              <w:pStyle w:val="Compact"/>
              <w:jc w:val="left"/>
            </w:pPr>
            <w:r>
              <w:rPr>
                <w:sz w:val="17"/>
              </w:rPr>
              <w:t xml:space="preserve">E25</w:t>
            </w:r>
          </w:p>
        </w:tc>
        <w:tc>
          <w:tcPr>
            <w:tcW w:type="dxa" w:w="2506"/>
          </w:tcPr>
          <w:p>
            <w:pPr>
              <w:pStyle w:val="Compact"/>
              <w:jc w:val="left"/>
            </w:pPr>
            <w:r>
              <w:rPr>
                <w:sz w:val="17"/>
              </w:rPr>
              <w:t xml:space="preserve">Modelling of systemic resilience is still immature</w:t>
            </w:r>
          </w:p>
        </w:tc>
        <w:tc>
          <w:tcPr>
            <w:tcW w:type="dxa" w:w="1060"/>
          </w:tcPr>
          <w:p>
            <w:pPr>
              <w:pStyle w:val="Compact"/>
              <w:jc w:val="left"/>
            </w:pPr>
            <w:r>
              <w:rPr>
                <w:sz w:val="17"/>
              </w:rPr>
              <w:t xml:space="preserve">Features</w:t>
            </w:r>
          </w:p>
        </w:tc>
        <w:tc>
          <w:tcPr>
            <w:tcW w:type="dxa" w:w="1349"/>
          </w:tcPr>
          <w:p>
            <w:pPr>
              <w:pStyle w:val="Compact"/>
              <w:jc w:val="left"/>
            </w:pPr>
            <w:r>
              <w:rPr>
                <w:sz w:val="17"/>
              </w:rPr>
              <w:t xml:space="preserve">Paulus et al. (2025)</w:t>
            </w:r>
          </w:p>
        </w:tc>
        <w:tc>
          <w:tcPr>
            <w:tcW w:type="dxa" w:w="3181"/>
          </w:tcPr>
          <w:p>
            <w:pPr>
              <w:pStyle w:val="Compact"/>
              <w:jc w:val="left"/>
            </w:pPr>
            <w:r>
              <w:rPr>
                <w:sz w:val="17"/>
              </w:rPr>
              <w:t xml:space="preserve">“</w:t>
            </w:r>
            <w:r>
              <w:rPr>
                <w:sz w:val="17"/>
              </w:rPr>
              <w:t xml:space="preserve">modeling of systemic resilience are still in their infancy</w:t>
            </w:r>
            <w:r>
              <w:rPr>
                <w:sz w:val="17"/>
              </w:rPr>
              <w:t xml:space="preserve">”</w:t>
            </w:r>
          </w:p>
        </w:tc>
        <w:tc>
          <w:tcPr>
            <w:tcW w:type="dxa" w:w="964"/>
          </w:tcPr>
          <w:p>
            <w:pPr>
              <w:pStyle w:val="Compact"/>
              <w:jc w:val="left"/>
            </w:pPr>
            <w:r>
              <w:rPr>
                <w:sz w:val="17"/>
              </w:rPr>
              <w:t xml:space="preserve">PDF p. 1</w:t>
            </w:r>
          </w:p>
        </w:tc>
      </w:tr>
      <w:tr>
        <w:tc>
          <w:tcPr>
            <w:tcW w:type="dxa" w:w="578"/>
          </w:tcPr>
          <w:p>
            <w:pPr>
              <w:pStyle w:val="Compact"/>
              <w:jc w:val="left"/>
            </w:pPr>
            <w:r>
              <w:rPr>
                <w:sz w:val="17"/>
              </w:rPr>
              <w:t xml:space="preserve">E26</w:t>
            </w:r>
          </w:p>
        </w:tc>
        <w:tc>
          <w:tcPr>
            <w:tcW w:type="dxa" w:w="2506"/>
          </w:tcPr>
          <w:p>
            <w:pPr>
              <w:pStyle w:val="Compact"/>
              <w:jc w:val="left"/>
            </w:pPr>
            <w:r>
              <w:rPr>
                <w:sz w:val="17"/>
              </w:rPr>
              <w:t xml:space="preserve">Little is known about how midstream actors build resilience</w:t>
            </w:r>
          </w:p>
        </w:tc>
        <w:tc>
          <w:tcPr>
            <w:tcW w:type="dxa" w:w="1060"/>
          </w:tcPr>
          <w:p>
            <w:pPr>
              <w:pStyle w:val="Compact"/>
              <w:jc w:val="left"/>
            </w:pPr>
            <w:r>
              <w:rPr>
                <w:sz w:val="17"/>
              </w:rPr>
              <w:t xml:space="preserve">Features</w:t>
            </w:r>
          </w:p>
        </w:tc>
        <w:tc>
          <w:tcPr>
            <w:tcW w:type="dxa" w:w="1349"/>
          </w:tcPr>
          <w:p>
            <w:pPr>
              <w:pStyle w:val="Compact"/>
              <w:jc w:val="left"/>
            </w:pPr>
            <w:r>
              <w:rPr>
                <w:sz w:val="17"/>
              </w:rPr>
              <w:t xml:space="preserve">Béné (2020)</w:t>
            </w:r>
          </w:p>
        </w:tc>
        <w:tc>
          <w:tcPr>
            <w:tcW w:type="dxa" w:w="3181"/>
          </w:tcPr>
          <w:p>
            <w:pPr>
              <w:pStyle w:val="Compact"/>
              <w:jc w:val="left"/>
            </w:pPr>
            <w:r>
              <w:rPr>
                <w:sz w:val="17"/>
              </w:rPr>
              <w:t xml:space="preserve">“</w:t>
            </w:r>
            <w:r>
              <w:rPr>
                <w:sz w:val="17"/>
              </w:rPr>
              <w:t xml:space="preserve">strengthen the ability of processors, or traders, or street vendors</w:t>
            </w:r>
            <w:r>
              <w:rPr>
                <w:sz w:val="17"/>
              </w:rPr>
              <w:t xml:space="preserve">”</w:t>
            </w:r>
          </w:p>
        </w:tc>
        <w:tc>
          <w:tcPr>
            <w:tcW w:type="dxa" w:w="964"/>
          </w:tcPr>
          <w:p>
            <w:pPr>
              <w:pStyle w:val="Compact"/>
              <w:jc w:val="left"/>
            </w:pPr>
            <w:r>
              <w:rPr>
                <w:sz w:val="17"/>
              </w:rPr>
              <w:t xml:space="preserve">p. 810</w:t>
            </w:r>
          </w:p>
        </w:tc>
      </w:tr>
      <w:tr>
        <w:tc>
          <w:tcPr>
            <w:tcW w:type="dxa" w:w="578"/>
          </w:tcPr>
          <w:p>
            <w:pPr>
              <w:pStyle w:val="Compact"/>
              <w:jc w:val="left"/>
            </w:pPr>
            <w:r>
              <w:rPr>
                <w:sz w:val="17"/>
              </w:rPr>
              <w:t xml:space="preserve">E27</w:t>
            </w:r>
          </w:p>
        </w:tc>
        <w:tc>
          <w:tcPr>
            <w:tcW w:type="dxa" w:w="2506"/>
          </w:tcPr>
          <w:p>
            <w:pPr>
              <w:pStyle w:val="Compact"/>
              <w:jc w:val="left"/>
            </w:pPr>
            <w:r>
              <w:rPr>
                <w:sz w:val="17"/>
              </w:rPr>
              <w:t xml:space="preserve">Resilience is criticised for neglecting agency and power</w:t>
            </w:r>
          </w:p>
        </w:tc>
        <w:tc>
          <w:tcPr>
            <w:tcW w:type="dxa" w:w="1060"/>
          </w:tcPr>
          <w:p>
            <w:pPr>
              <w:pStyle w:val="Compact"/>
              <w:jc w:val="left"/>
            </w:pPr>
            <w:r>
              <w:rPr>
                <w:sz w:val="17"/>
              </w:rPr>
              <w:t xml:space="preserve">Features</w:t>
            </w:r>
          </w:p>
        </w:tc>
        <w:tc>
          <w:tcPr>
            <w:tcW w:type="dxa" w:w="1349"/>
          </w:tcPr>
          <w:p>
            <w:pPr>
              <w:pStyle w:val="Compact"/>
              <w:jc w:val="left"/>
            </w:pPr>
            <w:r>
              <w:rPr>
                <w:sz w:val="17"/>
              </w:rPr>
              <w:t xml:space="preserve">Béné et al. (2012)</w:t>
            </w:r>
          </w:p>
        </w:tc>
        <w:tc>
          <w:tcPr>
            <w:tcW w:type="dxa" w:w="3181"/>
          </w:tcPr>
          <w:p>
            <w:pPr>
              <w:pStyle w:val="Compact"/>
              <w:jc w:val="left"/>
            </w:pPr>
            <w:r>
              <w:rPr>
                <w:sz w:val="17"/>
              </w:rPr>
              <w:t xml:space="preserve">“</w:t>
            </w:r>
            <w:r>
              <w:rPr>
                <w:sz w:val="17"/>
              </w:rPr>
              <w:t xml:space="preserve">inability to appropriately capture and reflect social dynamics</w:t>
            </w:r>
            <w:r>
              <w:rPr>
                <w:sz w:val="17"/>
              </w:rPr>
              <w:t xml:space="preserve">”</w:t>
            </w:r>
          </w:p>
        </w:tc>
        <w:tc>
          <w:tcPr>
            <w:tcW w:type="dxa" w:w="964"/>
          </w:tcPr>
          <w:p>
            <w:pPr>
              <w:pStyle w:val="Compact"/>
              <w:jc w:val="left"/>
            </w:pPr>
            <w:r>
              <w:rPr>
                <w:sz w:val="17"/>
              </w:rPr>
              <w:t xml:space="preserve">p. 12</w:t>
            </w:r>
          </w:p>
        </w:tc>
      </w:tr>
      <w:tr>
        <w:tc>
          <w:tcPr>
            <w:tcW w:type="dxa" w:w="578"/>
          </w:tcPr>
          <w:p>
            <w:pPr>
              <w:pStyle w:val="Compact"/>
              <w:jc w:val="left"/>
            </w:pPr>
            <w:r>
              <w:rPr>
                <w:sz w:val="17"/>
              </w:rPr>
              <w:t xml:space="preserve">E28</w:t>
            </w:r>
          </w:p>
        </w:tc>
        <w:tc>
          <w:tcPr>
            <w:tcW w:type="dxa" w:w="2506"/>
          </w:tcPr>
          <w:p>
            <w:pPr>
              <w:pStyle w:val="Compact"/>
              <w:jc w:val="left"/>
            </w:pPr>
            <w:r>
              <w:rPr>
                <w:sz w:val="17"/>
              </w:rPr>
              <w:t xml:space="preserve">Rotz and Fraser warn against depoliticising resilience</w:t>
            </w:r>
          </w:p>
        </w:tc>
        <w:tc>
          <w:tcPr>
            <w:tcW w:type="dxa" w:w="1060"/>
          </w:tcPr>
          <w:p>
            <w:pPr>
              <w:pStyle w:val="Compact"/>
              <w:jc w:val="left"/>
            </w:pPr>
            <w:r>
              <w:rPr>
                <w:sz w:val="17"/>
              </w:rPr>
              <w:t xml:space="preserve">Features</w:t>
            </w:r>
          </w:p>
        </w:tc>
        <w:tc>
          <w:tcPr>
            <w:tcW w:type="dxa" w:w="1349"/>
          </w:tcPr>
          <w:p>
            <w:pPr>
              <w:pStyle w:val="Compact"/>
              <w:jc w:val="left"/>
            </w:pPr>
            <w:r>
              <w:rPr>
                <w:sz w:val="17"/>
              </w:rPr>
              <w:t xml:space="preserve">Rotz &amp; Fraser (2018)</w:t>
            </w:r>
          </w:p>
        </w:tc>
        <w:tc>
          <w:tcPr>
            <w:tcW w:type="dxa" w:w="3181"/>
          </w:tcPr>
          <w:p>
            <w:pPr>
              <w:pStyle w:val="Compact"/>
              <w:jc w:val="left"/>
            </w:pPr>
            <w:r>
              <w:rPr>
                <w:sz w:val="17"/>
              </w:rPr>
              <w:t xml:space="preserve">“</w:t>
            </w:r>
            <w:r>
              <w:rPr>
                <w:sz w:val="17"/>
              </w:rPr>
              <w:t xml:space="preserve">resist the de-politicization of sustainability and resilience</w:t>
            </w:r>
            <w:r>
              <w:rPr>
                <w:sz w:val="17"/>
              </w:rPr>
              <w:t xml:space="preserve">”</w:t>
            </w:r>
          </w:p>
        </w:tc>
        <w:tc>
          <w:tcPr>
            <w:tcW w:type="dxa" w:w="964"/>
          </w:tcPr>
          <w:p>
            <w:pPr>
              <w:pStyle w:val="Compact"/>
              <w:jc w:val="left"/>
            </w:pPr>
            <w:r>
              <w:rPr>
                <w:sz w:val="17"/>
              </w:rPr>
              <w:t xml:space="preserve">PDF p. 6</w:t>
            </w:r>
          </w:p>
        </w:tc>
      </w:tr>
      <w:tr>
        <w:tc>
          <w:tcPr>
            <w:tcW w:type="dxa" w:w="578"/>
          </w:tcPr>
          <w:p>
            <w:pPr>
              <w:pStyle w:val="Compact"/>
              <w:jc w:val="left"/>
            </w:pPr>
            <w:r>
              <w:rPr>
                <w:sz w:val="17"/>
              </w:rPr>
              <w:t xml:space="preserve">E29</w:t>
            </w:r>
          </w:p>
        </w:tc>
        <w:tc>
          <w:tcPr>
            <w:tcW w:type="dxa" w:w="2506"/>
          </w:tcPr>
          <w:p>
            <w:pPr>
              <w:pStyle w:val="Compact"/>
              <w:jc w:val="left"/>
            </w:pPr>
            <w:r>
              <w:rPr>
                <w:sz w:val="17"/>
              </w:rPr>
              <w:t xml:space="preserve">Conventional bounce-back framings can reinforce structures that created vulnerability</w:t>
            </w:r>
          </w:p>
        </w:tc>
        <w:tc>
          <w:tcPr>
            <w:tcW w:type="dxa" w:w="1060"/>
          </w:tcPr>
          <w:p>
            <w:pPr>
              <w:pStyle w:val="Compact"/>
              <w:jc w:val="left"/>
            </w:pPr>
            <w:r>
              <w:rPr>
                <w:sz w:val="17"/>
              </w:rPr>
              <w:t xml:space="preserve">Features</w:t>
            </w:r>
          </w:p>
        </w:tc>
        <w:tc>
          <w:tcPr>
            <w:tcW w:type="dxa" w:w="1349"/>
          </w:tcPr>
          <w:p>
            <w:pPr>
              <w:pStyle w:val="Compact"/>
              <w:jc w:val="left"/>
            </w:pPr>
            <w:r>
              <w:rPr>
                <w:sz w:val="17"/>
              </w:rPr>
              <w:t xml:space="preserve">Anderson et al. (2026)</w:t>
            </w:r>
          </w:p>
        </w:tc>
        <w:tc>
          <w:tcPr>
            <w:tcW w:type="dxa" w:w="3181"/>
          </w:tcPr>
          <w:p>
            <w:pPr>
              <w:pStyle w:val="Compact"/>
              <w:jc w:val="left"/>
            </w:pPr>
            <w:r>
              <w:rPr>
                <w:sz w:val="17"/>
              </w:rPr>
              <w:t xml:space="preserve">“</w:t>
            </w:r>
            <w:r>
              <w:rPr>
                <w:sz w:val="17"/>
              </w:rPr>
              <w:t xml:space="preserve">reinforcing the very structures that generated vulnerability</w:t>
            </w:r>
            <w:r>
              <w:rPr>
                <w:sz w:val="17"/>
              </w:rPr>
              <w:t xml:space="preserve">”</w:t>
            </w:r>
          </w:p>
        </w:tc>
        <w:tc>
          <w:tcPr>
            <w:tcW w:type="dxa" w:w="964"/>
          </w:tcPr>
          <w:p>
            <w:pPr>
              <w:pStyle w:val="Compact"/>
              <w:jc w:val="left"/>
            </w:pPr>
            <w:r>
              <w:rPr>
                <w:sz w:val="17"/>
              </w:rPr>
              <w:t xml:space="preserve">p. 457</w:t>
            </w:r>
          </w:p>
        </w:tc>
      </w:tr>
      <w:tr>
        <w:tc>
          <w:tcPr>
            <w:tcW w:type="dxa" w:w="578"/>
          </w:tcPr>
          <w:p>
            <w:pPr>
              <w:pStyle w:val="Compact"/>
              <w:jc w:val="left"/>
            </w:pPr>
            <w:r>
              <w:rPr>
                <w:sz w:val="17"/>
              </w:rPr>
              <w:t xml:space="preserve">E30</w:t>
            </w:r>
          </w:p>
        </w:tc>
        <w:tc>
          <w:tcPr>
            <w:tcW w:type="dxa" w:w="2506"/>
          </w:tcPr>
          <w:p>
            <w:pPr>
              <w:pStyle w:val="Compact"/>
              <w:jc w:val="left"/>
            </w:pPr>
            <w:r>
              <w:rPr>
                <w:sz w:val="17"/>
              </w:rPr>
              <w:t xml:space="preserve">Local food is not automatically more sustainable or resilient</w:t>
            </w:r>
          </w:p>
        </w:tc>
        <w:tc>
          <w:tcPr>
            <w:tcW w:type="dxa" w:w="1060"/>
          </w:tcPr>
          <w:p>
            <w:pPr>
              <w:pStyle w:val="Compact"/>
              <w:jc w:val="left"/>
            </w:pPr>
            <w:r>
              <w:rPr>
                <w:sz w:val="17"/>
              </w:rPr>
              <w:t xml:space="preserve">Features</w:t>
            </w:r>
          </w:p>
        </w:tc>
        <w:tc>
          <w:tcPr>
            <w:tcW w:type="dxa" w:w="1349"/>
          </w:tcPr>
          <w:p>
            <w:pPr>
              <w:pStyle w:val="Compact"/>
              <w:jc w:val="left"/>
            </w:pPr>
            <w:r>
              <w:rPr>
                <w:sz w:val="17"/>
              </w:rPr>
              <w:t xml:space="preserve">Wood et al. (2023)</w:t>
            </w:r>
          </w:p>
        </w:tc>
        <w:tc>
          <w:tcPr>
            <w:tcW w:type="dxa" w:w="3181"/>
          </w:tcPr>
          <w:p>
            <w:pPr>
              <w:pStyle w:val="Compact"/>
              <w:jc w:val="left"/>
            </w:pPr>
            <w:r>
              <w:rPr>
                <w:sz w:val="17"/>
              </w:rPr>
              <w:t xml:space="preserve">“</w:t>
            </w:r>
            <w:r>
              <w:rPr>
                <w:sz w:val="17"/>
              </w:rPr>
              <w:t xml:space="preserve">is no guarantee for greater sustainability</w:t>
            </w:r>
            <w:r>
              <w:rPr>
                <w:sz w:val="17"/>
              </w:rPr>
              <w:t xml:space="preserve">”</w:t>
            </w:r>
          </w:p>
        </w:tc>
        <w:tc>
          <w:tcPr>
            <w:tcW w:type="dxa" w:w="964"/>
          </w:tcPr>
          <w:p>
            <w:pPr>
              <w:pStyle w:val="Compact"/>
              <w:jc w:val="left"/>
            </w:pPr>
            <w:r>
              <w:rPr>
                <w:sz w:val="17"/>
              </w:rPr>
              <w:t xml:space="preserve">p. 22</w:t>
            </w:r>
          </w:p>
        </w:tc>
      </w:tr>
      <w:tr>
        <w:tc>
          <w:tcPr>
            <w:tcW w:type="dxa" w:w="578"/>
          </w:tcPr>
          <w:p>
            <w:pPr>
              <w:pStyle w:val="Compact"/>
              <w:jc w:val="left"/>
            </w:pPr>
            <w:r>
              <w:rPr>
                <w:sz w:val="17"/>
              </w:rPr>
              <w:t xml:space="preserve">E31</w:t>
            </w:r>
          </w:p>
        </w:tc>
        <w:tc>
          <w:tcPr>
            <w:tcW w:type="dxa" w:w="2506"/>
          </w:tcPr>
          <w:p>
            <w:pPr>
              <w:pStyle w:val="Compact"/>
              <w:jc w:val="left"/>
            </w:pPr>
            <w:r>
              <w:rPr>
                <w:sz w:val="17"/>
              </w:rPr>
              <w:t xml:space="preserve">A systematic review found 367 publications on food system or value chain resilience</w:t>
            </w:r>
          </w:p>
        </w:tc>
        <w:tc>
          <w:tcPr>
            <w:tcW w:type="dxa" w:w="1060"/>
          </w:tcPr>
          <w:p>
            <w:pPr>
              <w:pStyle w:val="Compact"/>
              <w:jc w:val="left"/>
            </w:pPr>
            <w:r>
              <w:rPr>
                <w:sz w:val="17"/>
              </w:rPr>
              <w:t xml:space="preserve">Implications</w:t>
            </w:r>
          </w:p>
        </w:tc>
        <w:tc>
          <w:tcPr>
            <w:tcW w:type="dxa" w:w="1349"/>
          </w:tcPr>
          <w:p>
            <w:pPr>
              <w:pStyle w:val="Compact"/>
              <w:jc w:val="left"/>
            </w:pPr>
            <w:r>
              <w:rPr>
                <w:sz w:val="17"/>
              </w:rPr>
              <w:t xml:space="preserve">Meyer (2020)</w:t>
            </w:r>
          </w:p>
        </w:tc>
        <w:tc>
          <w:tcPr>
            <w:tcW w:type="dxa" w:w="3181"/>
          </w:tcPr>
          <w:p>
            <w:pPr>
              <w:pStyle w:val="Compact"/>
              <w:jc w:val="left"/>
            </w:pPr>
            <w:r>
              <w:rPr>
                <w:sz w:val="17"/>
              </w:rPr>
              <w:t xml:space="preserve">“</w:t>
            </w:r>
            <w:r>
              <w:rPr>
                <w:sz w:val="17"/>
              </w:rPr>
              <w:t xml:space="preserve">It resulted in 367 publications</w:t>
            </w:r>
            <w:r>
              <w:rPr>
                <w:sz w:val="17"/>
              </w:rPr>
              <w:t xml:space="preserve">”</w:t>
            </w:r>
          </w:p>
        </w:tc>
        <w:tc>
          <w:tcPr>
            <w:tcW w:type="dxa" w:w="964"/>
          </w:tcPr>
          <w:p>
            <w:pPr>
              <w:pStyle w:val="Compact"/>
              <w:jc w:val="left"/>
            </w:pPr>
            <w:r>
              <w:rPr>
                <w:sz w:val="17"/>
              </w:rPr>
              <w:t xml:space="preserve">PDF p. 2</w:t>
            </w:r>
          </w:p>
        </w:tc>
      </w:tr>
      <w:tr>
        <w:tc>
          <w:tcPr>
            <w:tcW w:type="dxa" w:w="578"/>
          </w:tcPr>
          <w:p>
            <w:pPr>
              <w:pStyle w:val="Compact"/>
              <w:jc w:val="left"/>
            </w:pPr>
            <w:r>
              <w:rPr>
                <w:sz w:val="17"/>
              </w:rPr>
              <w:t xml:space="preserve">E32</w:t>
            </w:r>
          </w:p>
        </w:tc>
        <w:tc>
          <w:tcPr>
            <w:tcW w:type="dxa" w:w="2506"/>
          </w:tcPr>
          <w:p>
            <w:pPr>
              <w:pStyle w:val="Compact"/>
              <w:jc w:val="left"/>
            </w:pPr>
            <w:r>
              <w:rPr>
                <w:sz w:val="17"/>
              </w:rPr>
              <w:t xml:space="preserve">In coastal fishing communities, assets did not systematically explain who responded well</w:t>
            </w:r>
          </w:p>
        </w:tc>
        <w:tc>
          <w:tcPr>
            <w:tcW w:type="dxa" w:w="1060"/>
          </w:tcPr>
          <w:p>
            <w:pPr>
              <w:pStyle w:val="Compact"/>
              <w:jc w:val="left"/>
            </w:pPr>
            <w:r>
              <w:rPr>
                <w:sz w:val="17"/>
              </w:rPr>
              <w:t xml:space="preserve">Implications</w:t>
            </w:r>
          </w:p>
        </w:tc>
        <w:tc>
          <w:tcPr>
            <w:tcW w:type="dxa" w:w="1349"/>
          </w:tcPr>
          <w:p>
            <w:pPr>
              <w:pStyle w:val="Compact"/>
              <w:jc w:val="left"/>
            </w:pPr>
            <w:r>
              <w:rPr>
                <w:sz w:val="17"/>
              </w:rPr>
              <w:t xml:space="preserve">Béné et al. (2016)</w:t>
            </w:r>
          </w:p>
        </w:tc>
        <w:tc>
          <w:tcPr>
            <w:tcW w:type="dxa" w:w="3181"/>
          </w:tcPr>
          <w:p>
            <w:pPr>
              <w:pStyle w:val="Compact"/>
              <w:jc w:val="left"/>
            </w:pPr>
            <w:r>
              <w:rPr>
                <w:sz w:val="17"/>
              </w:rPr>
              <w:t xml:space="preserve">“</w:t>
            </w:r>
            <w:r>
              <w:rPr>
                <w:sz w:val="17"/>
              </w:rPr>
              <w:t xml:space="preserve">assets are a systematic differentiator in people</w:t>
            </w:r>
            <w:r>
              <w:rPr>
                <w:sz w:val="17"/>
              </w:rPr>
              <w:t xml:space="preserve">”</w:t>
            </w:r>
          </w:p>
        </w:tc>
        <w:tc>
          <w:tcPr>
            <w:tcW w:type="dxa" w:w="964"/>
          </w:tcPr>
          <w:p>
            <w:pPr>
              <w:pStyle w:val="Compact"/>
              <w:jc w:val="left"/>
            </w:pPr>
            <w:r>
              <w:rPr>
                <w:sz w:val="17"/>
              </w:rPr>
              <w:t xml:space="preserve">p. 153</w:t>
            </w:r>
          </w:p>
        </w:tc>
      </w:tr>
      <w:tr>
        <w:tc>
          <w:tcPr>
            <w:tcW w:type="dxa" w:w="578"/>
          </w:tcPr>
          <w:p>
            <w:pPr>
              <w:pStyle w:val="Compact"/>
              <w:jc w:val="left"/>
            </w:pPr>
            <w:r>
              <w:rPr>
                <w:sz w:val="17"/>
              </w:rPr>
              <w:t xml:space="preserve">E33</w:t>
            </w:r>
          </w:p>
        </w:tc>
        <w:tc>
          <w:tcPr>
            <w:tcW w:type="dxa" w:w="2506"/>
          </w:tcPr>
          <w:p>
            <w:pPr>
              <w:pStyle w:val="Compact"/>
              <w:jc w:val="left"/>
            </w:pPr>
            <w:r>
              <w:rPr>
                <w:sz w:val="17"/>
              </w:rPr>
              <w:t xml:space="preserve">In Ca Mau, policies for social-ecological resilience did not raise household resilience</w:t>
            </w:r>
          </w:p>
        </w:tc>
        <w:tc>
          <w:tcPr>
            <w:tcW w:type="dxa" w:w="1060"/>
          </w:tcPr>
          <w:p>
            <w:pPr>
              <w:pStyle w:val="Compact"/>
              <w:jc w:val="left"/>
            </w:pPr>
            <w:r>
              <w:rPr>
                <w:sz w:val="17"/>
              </w:rPr>
              <w:t xml:space="preserve">Implications</w:t>
            </w:r>
          </w:p>
        </w:tc>
        <w:tc>
          <w:tcPr>
            <w:tcW w:type="dxa" w:w="1349"/>
          </w:tcPr>
          <w:p>
            <w:pPr>
              <w:pStyle w:val="Compact"/>
              <w:jc w:val="left"/>
            </w:pPr>
            <w:r>
              <w:rPr>
                <w:sz w:val="17"/>
              </w:rPr>
              <w:t xml:space="preserve">Tran (2012)</w:t>
            </w:r>
          </w:p>
        </w:tc>
        <w:tc>
          <w:tcPr>
            <w:tcW w:type="dxa" w:w="3181"/>
          </w:tcPr>
          <w:p>
            <w:pPr>
              <w:pStyle w:val="Compact"/>
              <w:jc w:val="left"/>
            </w:pPr>
            <w:r>
              <w:rPr>
                <w:sz w:val="17"/>
              </w:rPr>
              <w:t xml:space="preserve">“</w:t>
            </w:r>
            <w:r>
              <w:rPr>
                <w:sz w:val="17"/>
              </w:rPr>
              <w:t xml:space="preserve">they do not necessarily stimulate an increase of the social and economic resilience</w:t>
            </w:r>
            <w:r>
              <w:rPr>
                <w:sz w:val="17"/>
              </w:rPr>
              <w:t xml:space="preserve">”</w:t>
            </w:r>
          </w:p>
        </w:tc>
        <w:tc>
          <w:tcPr>
            <w:tcW w:type="dxa" w:w="964"/>
          </w:tcPr>
          <w:p>
            <w:pPr>
              <w:pStyle w:val="Compact"/>
              <w:jc w:val="left"/>
            </w:pPr>
            <w:r>
              <w:rPr>
                <w:sz w:val="17"/>
              </w:rPr>
              <w:t xml:space="preserve">p. 185</w:t>
            </w:r>
          </w:p>
        </w:tc>
      </w:tr>
      <w:tr>
        <w:tc>
          <w:tcPr>
            <w:tcW w:type="dxa" w:w="578"/>
          </w:tcPr>
          <w:p>
            <w:pPr>
              <w:pStyle w:val="Compact"/>
              <w:jc w:val="left"/>
            </w:pPr>
            <w:r>
              <w:rPr>
                <w:sz w:val="17"/>
              </w:rPr>
              <w:t xml:space="preserve">E34</w:t>
            </w:r>
          </w:p>
        </w:tc>
        <w:tc>
          <w:tcPr>
            <w:tcW w:type="dxa" w:w="2506"/>
          </w:tcPr>
          <w:p>
            <w:pPr>
              <w:pStyle w:val="Compact"/>
              <w:jc w:val="left"/>
            </w:pPr>
            <w:r>
              <w:rPr>
                <w:sz w:val="17"/>
              </w:rPr>
              <w:t xml:space="preserve">In Viet Nam, price and income shocks hit poor households’ calorie intake hardest</w:t>
            </w:r>
          </w:p>
        </w:tc>
        <w:tc>
          <w:tcPr>
            <w:tcW w:type="dxa" w:w="1060"/>
          </w:tcPr>
          <w:p>
            <w:pPr>
              <w:pStyle w:val="Compact"/>
              <w:jc w:val="left"/>
            </w:pPr>
            <w:r>
              <w:rPr>
                <w:sz w:val="17"/>
              </w:rPr>
              <w:t xml:space="preserve">Implications</w:t>
            </w:r>
          </w:p>
        </w:tc>
        <w:tc>
          <w:tcPr>
            <w:tcW w:type="dxa" w:w="1349"/>
          </w:tcPr>
          <w:p>
            <w:pPr>
              <w:pStyle w:val="Compact"/>
              <w:jc w:val="left"/>
            </w:pPr>
            <w:r>
              <w:rPr>
                <w:sz w:val="17"/>
              </w:rPr>
              <w:t xml:space="preserve">Hoang (2018)</w:t>
            </w:r>
          </w:p>
        </w:tc>
        <w:tc>
          <w:tcPr>
            <w:tcW w:type="dxa" w:w="3181"/>
          </w:tcPr>
          <w:p>
            <w:pPr>
              <w:pStyle w:val="Compact"/>
              <w:jc w:val="left"/>
            </w:pPr>
            <w:r>
              <w:rPr>
                <w:sz w:val="17"/>
              </w:rPr>
              <w:t xml:space="preserve">“</w:t>
            </w:r>
            <w:r>
              <w:rPr>
                <w:sz w:val="17"/>
              </w:rPr>
              <w:t xml:space="preserve">Low-income households face a higher risk of undernourishment</w:t>
            </w:r>
            <w:r>
              <w:rPr>
                <w:sz w:val="17"/>
              </w:rPr>
              <w:t xml:space="preserve">”</w:t>
            </w:r>
          </w:p>
        </w:tc>
        <w:tc>
          <w:tcPr>
            <w:tcW w:type="dxa" w:w="964"/>
          </w:tcPr>
          <w:p>
            <w:pPr>
              <w:pStyle w:val="Compact"/>
              <w:jc w:val="left"/>
            </w:pPr>
            <w:r>
              <w:rPr>
                <w:sz w:val="17"/>
              </w:rPr>
              <w:t xml:space="preserve">p. 83</w:t>
            </w:r>
          </w:p>
        </w:tc>
      </w:tr>
      <w:tr>
        <w:tc>
          <w:tcPr>
            <w:tcW w:type="dxa" w:w="578"/>
          </w:tcPr>
          <w:p>
            <w:pPr>
              <w:pStyle w:val="Compact"/>
              <w:jc w:val="left"/>
            </w:pPr>
            <w:r>
              <w:rPr>
                <w:sz w:val="17"/>
              </w:rPr>
              <w:t xml:space="preserve">E35</w:t>
            </w:r>
          </w:p>
        </w:tc>
        <w:tc>
          <w:tcPr>
            <w:tcW w:type="dxa" w:w="2506"/>
          </w:tcPr>
          <w:p>
            <w:pPr>
              <w:pStyle w:val="Compact"/>
              <w:jc w:val="left"/>
            </w:pPr>
            <w:r>
              <w:rPr>
                <w:sz w:val="17"/>
              </w:rPr>
              <w:t xml:space="preserve">In Central Sulawesi, liquid assets and credit strengthened drought resilience</w:t>
            </w:r>
          </w:p>
        </w:tc>
        <w:tc>
          <w:tcPr>
            <w:tcW w:type="dxa" w:w="1060"/>
          </w:tcPr>
          <w:p>
            <w:pPr>
              <w:pStyle w:val="Compact"/>
              <w:jc w:val="left"/>
            </w:pPr>
            <w:r>
              <w:rPr>
                <w:sz w:val="17"/>
              </w:rPr>
              <w:t xml:space="preserve">Implications</w:t>
            </w:r>
          </w:p>
        </w:tc>
        <w:tc>
          <w:tcPr>
            <w:tcW w:type="dxa" w:w="1349"/>
          </w:tcPr>
          <w:p>
            <w:pPr>
              <w:pStyle w:val="Compact"/>
              <w:jc w:val="left"/>
            </w:pPr>
            <w:r>
              <w:rPr>
                <w:sz w:val="17"/>
              </w:rPr>
              <w:t xml:space="preserve">Keil et al. (2008)</w:t>
            </w:r>
          </w:p>
        </w:tc>
        <w:tc>
          <w:tcPr>
            <w:tcW w:type="dxa" w:w="3181"/>
          </w:tcPr>
          <w:p>
            <w:pPr>
              <w:pStyle w:val="Compact"/>
              <w:jc w:val="left"/>
            </w:pPr>
            <w:r>
              <w:rPr>
                <w:sz w:val="17"/>
              </w:rPr>
              <w:t xml:space="preserve">“</w:t>
            </w:r>
            <w:r>
              <w:rPr>
                <w:sz w:val="17"/>
              </w:rPr>
              <w:t xml:space="preserve">strengthened by the possession of liquid assets, access to credit</w:t>
            </w:r>
            <w:r>
              <w:rPr>
                <w:sz w:val="17"/>
              </w:rPr>
              <w:t xml:space="preserve">”</w:t>
            </w:r>
          </w:p>
        </w:tc>
        <w:tc>
          <w:tcPr>
            <w:tcW w:type="dxa" w:w="964"/>
          </w:tcPr>
          <w:p>
            <w:pPr>
              <w:pStyle w:val="Compact"/>
              <w:jc w:val="left"/>
            </w:pPr>
            <w:r>
              <w:rPr>
                <w:sz w:val="17"/>
              </w:rPr>
              <w:t xml:space="preserve">p. 291</w:t>
            </w:r>
          </w:p>
        </w:tc>
      </w:tr>
      <w:tr>
        <w:tc>
          <w:tcPr>
            <w:tcW w:type="dxa" w:w="578"/>
          </w:tcPr>
          <w:p>
            <w:pPr>
              <w:pStyle w:val="Compact"/>
              <w:jc w:val="left"/>
            </w:pPr>
            <w:r>
              <w:rPr>
                <w:sz w:val="17"/>
              </w:rPr>
              <w:t xml:space="preserve">E36</w:t>
            </w:r>
          </w:p>
        </w:tc>
        <w:tc>
          <w:tcPr>
            <w:tcW w:type="dxa" w:w="2506"/>
          </w:tcPr>
          <w:p>
            <w:pPr>
              <w:pStyle w:val="Compact"/>
              <w:jc w:val="left"/>
            </w:pPr>
            <w:r>
              <w:rPr>
                <w:sz w:val="17"/>
              </w:rPr>
              <w:t xml:space="preserve">Malawi’s input subsidy raised maize output but not nutrition</w:t>
            </w:r>
          </w:p>
        </w:tc>
        <w:tc>
          <w:tcPr>
            <w:tcW w:type="dxa" w:w="1060"/>
          </w:tcPr>
          <w:p>
            <w:pPr>
              <w:pStyle w:val="Compact"/>
              <w:jc w:val="left"/>
            </w:pPr>
            <w:r>
              <w:rPr>
                <w:sz w:val="17"/>
              </w:rPr>
              <w:t xml:space="preserve">Implications</w:t>
            </w:r>
          </w:p>
        </w:tc>
        <w:tc>
          <w:tcPr>
            <w:tcW w:type="dxa" w:w="1349"/>
          </w:tcPr>
          <w:p>
            <w:pPr>
              <w:pStyle w:val="Compact"/>
              <w:jc w:val="left"/>
            </w:pPr>
            <w:r>
              <w:rPr>
                <w:sz w:val="17"/>
              </w:rPr>
              <w:t xml:space="preserve">Schipanski et al. (2016)</w:t>
            </w:r>
          </w:p>
        </w:tc>
        <w:tc>
          <w:tcPr>
            <w:tcW w:type="dxa" w:w="3181"/>
          </w:tcPr>
          <w:p>
            <w:pPr>
              <w:pStyle w:val="Compact"/>
              <w:jc w:val="left"/>
            </w:pPr>
            <w:r>
              <w:rPr>
                <w:sz w:val="17"/>
              </w:rPr>
              <w:t xml:space="preserve">“</w:t>
            </w:r>
            <w:r>
              <w:rPr>
                <w:sz w:val="17"/>
              </w:rPr>
              <w:t xml:space="preserve">failed to address severe food insecurity and child malnutrition</w:t>
            </w:r>
            <w:r>
              <w:rPr>
                <w:sz w:val="17"/>
              </w:rPr>
              <w:t xml:space="preserve">”</w:t>
            </w:r>
          </w:p>
        </w:tc>
        <w:tc>
          <w:tcPr>
            <w:tcW w:type="dxa" w:w="964"/>
          </w:tcPr>
          <w:p>
            <w:pPr>
              <w:pStyle w:val="Compact"/>
              <w:jc w:val="left"/>
            </w:pPr>
            <w:r>
              <w:rPr>
                <w:sz w:val="17"/>
              </w:rPr>
              <w:t xml:space="preserve">p. 604</w:t>
            </w:r>
          </w:p>
        </w:tc>
      </w:tr>
      <w:tr>
        <w:tc>
          <w:tcPr>
            <w:tcW w:type="dxa" w:w="578"/>
          </w:tcPr>
          <w:p>
            <w:pPr>
              <w:pStyle w:val="Compact"/>
              <w:jc w:val="left"/>
            </w:pPr>
            <w:r>
              <w:rPr>
                <w:sz w:val="17"/>
              </w:rPr>
              <w:t xml:space="preserve">E37</w:t>
            </w:r>
          </w:p>
        </w:tc>
        <w:tc>
          <w:tcPr>
            <w:tcW w:type="dxa" w:w="2506"/>
          </w:tcPr>
          <w:p>
            <w:pPr>
              <w:pStyle w:val="Compact"/>
              <w:jc w:val="left"/>
            </w:pPr>
            <w:r>
              <w:rPr>
                <w:sz w:val="17"/>
              </w:rPr>
              <w:t xml:space="preserve">The Malawi legume project grew to 8,000 farmers</w:t>
            </w:r>
          </w:p>
        </w:tc>
        <w:tc>
          <w:tcPr>
            <w:tcW w:type="dxa" w:w="1060"/>
          </w:tcPr>
          <w:p>
            <w:pPr>
              <w:pStyle w:val="Compact"/>
              <w:jc w:val="left"/>
            </w:pPr>
            <w:r>
              <w:rPr>
                <w:sz w:val="17"/>
              </w:rPr>
              <w:t xml:space="preserve">Implications</w:t>
            </w:r>
          </w:p>
        </w:tc>
        <w:tc>
          <w:tcPr>
            <w:tcW w:type="dxa" w:w="1349"/>
          </w:tcPr>
          <w:p>
            <w:pPr>
              <w:pStyle w:val="Compact"/>
              <w:jc w:val="left"/>
            </w:pPr>
            <w:r>
              <w:rPr>
                <w:sz w:val="17"/>
              </w:rPr>
              <w:t xml:space="preserve">Schipanski et al. (2016)</w:t>
            </w:r>
          </w:p>
        </w:tc>
        <w:tc>
          <w:tcPr>
            <w:tcW w:type="dxa" w:w="3181"/>
          </w:tcPr>
          <w:p>
            <w:pPr>
              <w:pStyle w:val="Compact"/>
              <w:jc w:val="left"/>
            </w:pPr>
            <w:r>
              <w:rPr>
                <w:sz w:val="17"/>
              </w:rPr>
              <w:t xml:space="preserve">“</w:t>
            </w:r>
            <w:r>
              <w:rPr>
                <w:sz w:val="17"/>
              </w:rPr>
              <w:t xml:space="preserve">grew to a network of 8,000 farmers</w:t>
            </w:r>
            <w:r>
              <w:rPr>
                <w:sz w:val="17"/>
              </w:rPr>
              <w:t xml:space="preserve">”</w:t>
            </w:r>
          </w:p>
        </w:tc>
        <w:tc>
          <w:tcPr>
            <w:tcW w:type="dxa" w:w="964"/>
          </w:tcPr>
          <w:p>
            <w:pPr>
              <w:pStyle w:val="Compact"/>
              <w:jc w:val="left"/>
            </w:pPr>
            <w:r>
              <w:rPr>
                <w:sz w:val="17"/>
              </w:rPr>
              <w:t xml:space="preserve">p. 604</w:t>
            </w:r>
          </w:p>
        </w:tc>
      </w:tr>
      <w:tr>
        <w:tc>
          <w:tcPr>
            <w:tcW w:type="dxa" w:w="578"/>
          </w:tcPr>
          <w:p>
            <w:pPr>
              <w:pStyle w:val="Compact"/>
              <w:jc w:val="left"/>
            </w:pPr>
            <w:r>
              <w:rPr>
                <w:sz w:val="17"/>
              </w:rPr>
              <w:t xml:space="preserve">E38</w:t>
            </w:r>
          </w:p>
        </w:tc>
        <w:tc>
          <w:tcPr>
            <w:tcW w:type="dxa" w:w="2506"/>
          </w:tcPr>
          <w:p>
            <w:pPr>
              <w:pStyle w:val="Compact"/>
              <w:jc w:val="left"/>
            </w:pPr>
            <w:r>
              <w:rPr>
                <w:sz w:val="17"/>
              </w:rPr>
              <w:t xml:space="preserve">Belo Horizonte’s regional sourcing stabilised rural incomes</w:t>
            </w:r>
          </w:p>
        </w:tc>
        <w:tc>
          <w:tcPr>
            <w:tcW w:type="dxa" w:w="1060"/>
          </w:tcPr>
          <w:p>
            <w:pPr>
              <w:pStyle w:val="Compact"/>
              <w:jc w:val="left"/>
            </w:pPr>
            <w:r>
              <w:rPr>
                <w:sz w:val="17"/>
              </w:rPr>
              <w:t xml:space="preserve">Implications</w:t>
            </w:r>
          </w:p>
        </w:tc>
        <w:tc>
          <w:tcPr>
            <w:tcW w:type="dxa" w:w="1349"/>
          </w:tcPr>
          <w:p>
            <w:pPr>
              <w:pStyle w:val="Compact"/>
              <w:jc w:val="left"/>
            </w:pPr>
            <w:r>
              <w:rPr>
                <w:sz w:val="17"/>
              </w:rPr>
              <w:t xml:space="preserve">Schipanski et al. (2016)</w:t>
            </w:r>
          </w:p>
        </w:tc>
        <w:tc>
          <w:tcPr>
            <w:tcW w:type="dxa" w:w="3181"/>
          </w:tcPr>
          <w:p>
            <w:pPr>
              <w:pStyle w:val="Compact"/>
              <w:jc w:val="left"/>
            </w:pPr>
            <w:r>
              <w:rPr>
                <w:sz w:val="17"/>
              </w:rPr>
              <w:t xml:space="preserve">“</w:t>
            </w:r>
            <w:r>
              <w:rPr>
                <w:sz w:val="17"/>
              </w:rPr>
              <w:t xml:space="preserve">stabilized rural household incomes and slowed rural to urban migration</w:t>
            </w:r>
            <w:r>
              <w:rPr>
                <w:sz w:val="17"/>
              </w:rPr>
              <w:t xml:space="preserve">”</w:t>
            </w:r>
          </w:p>
        </w:tc>
        <w:tc>
          <w:tcPr>
            <w:tcW w:type="dxa" w:w="964"/>
          </w:tcPr>
          <w:p>
            <w:pPr>
              <w:pStyle w:val="Compact"/>
              <w:jc w:val="left"/>
            </w:pPr>
            <w:r>
              <w:rPr>
                <w:sz w:val="17"/>
              </w:rPr>
              <w:t xml:space="preserve">p. 606</w:t>
            </w:r>
          </w:p>
        </w:tc>
      </w:tr>
      <w:tr>
        <w:tc>
          <w:tcPr>
            <w:tcW w:type="dxa" w:w="578"/>
          </w:tcPr>
          <w:p>
            <w:pPr>
              <w:pStyle w:val="Compact"/>
              <w:jc w:val="left"/>
            </w:pPr>
            <w:r>
              <w:rPr>
                <w:sz w:val="17"/>
              </w:rPr>
              <w:t xml:space="preserve">E39</w:t>
            </w:r>
          </w:p>
        </w:tc>
        <w:tc>
          <w:tcPr>
            <w:tcW w:type="dxa" w:w="2506"/>
          </w:tcPr>
          <w:p>
            <w:pPr>
              <w:pStyle w:val="Compact"/>
              <w:jc w:val="left"/>
            </w:pPr>
            <w:r>
              <w:rPr>
                <w:sz w:val="17"/>
              </w:rPr>
              <w:t xml:space="preserve">Moran et al. argued the UK food system showed adaptive capacity under COVID-19</w:t>
            </w:r>
          </w:p>
        </w:tc>
        <w:tc>
          <w:tcPr>
            <w:tcW w:type="dxa" w:w="1060"/>
          </w:tcPr>
          <w:p>
            <w:pPr>
              <w:pStyle w:val="Compact"/>
              <w:jc w:val="left"/>
            </w:pPr>
            <w:r>
              <w:rPr>
                <w:sz w:val="17"/>
              </w:rPr>
              <w:t xml:space="preserve">Implications</w:t>
            </w:r>
          </w:p>
        </w:tc>
        <w:tc>
          <w:tcPr>
            <w:tcW w:type="dxa" w:w="1349"/>
          </w:tcPr>
          <w:p>
            <w:pPr>
              <w:pStyle w:val="Compact"/>
              <w:jc w:val="left"/>
            </w:pPr>
            <w:r>
              <w:rPr>
                <w:sz w:val="17"/>
              </w:rPr>
              <w:t xml:space="preserve">Moran et al. (2020)</w:t>
            </w:r>
          </w:p>
        </w:tc>
        <w:tc>
          <w:tcPr>
            <w:tcW w:type="dxa" w:w="3181"/>
          </w:tcPr>
          <w:p>
            <w:pPr>
              <w:pStyle w:val="Compact"/>
              <w:jc w:val="left"/>
            </w:pPr>
            <w:r>
              <w:rPr>
                <w:sz w:val="17"/>
              </w:rPr>
              <w:t xml:space="preserve">“</w:t>
            </w:r>
            <w:r>
              <w:rPr>
                <w:sz w:val="17"/>
              </w:rPr>
              <w:t xml:space="preserve">the food system in the UK has remarkable adaptive capacity</w:t>
            </w:r>
            <w:r>
              <w:rPr>
                <w:sz w:val="17"/>
              </w:rPr>
              <w:t xml:space="preserve">”</w:t>
            </w:r>
          </w:p>
        </w:tc>
        <w:tc>
          <w:tcPr>
            <w:tcW w:type="dxa" w:w="964"/>
          </w:tcPr>
          <w:p>
            <w:pPr>
              <w:pStyle w:val="Compact"/>
              <w:jc w:val="left"/>
            </w:pPr>
            <w:r>
              <w:rPr>
                <w:sz w:val="17"/>
              </w:rPr>
              <w:t xml:space="preserve">p. 242</w:t>
            </w:r>
          </w:p>
        </w:tc>
      </w:tr>
      <w:tr>
        <w:tc>
          <w:tcPr>
            <w:tcW w:type="dxa" w:w="578"/>
          </w:tcPr>
          <w:p>
            <w:pPr>
              <w:pStyle w:val="Compact"/>
              <w:jc w:val="left"/>
            </w:pPr>
            <w:r>
              <w:rPr>
                <w:sz w:val="17"/>
              </w:rPr>
              <w:t xml:space="preserve">E40</w:t>
            </w:r>
          </w:p>
        </w:tc>
        <w:tc>
          <w:tcPr>
            <w:tcW w:type="dxa" w:w="2506"/>
          </w:tcPr>
          <w:p>
            <w:pPr>
              <w:pStyle w:val="Compact"/>
              <w:jc w:val="left"/>
            </w:pPr>
            <w:r>
              <w:rPr>
                <w:sz w:val="17"/>
              </w:rPr>
              <w:t xml:space="preserve">Alternative food network actors saw the UK food system as not resilient</w:t>
            </w:r>
          </w:p>
        </w:tc>
        <w:tc>
          <w:tcPr>
            <w:tcW w:type="dxa" w:w="1060"/>
          </w:tcPr>
          <w:p>
            <w:pPr>
              <w:pStyle w:val="Compact"/>
              <w:jc w:val="left"/>
            </w:pPr>
            <w:r>
              <w:rPr>
                <w:sz w:val="17"/>
              </w:rPr>
              <w:t xml:space="preserve">Implications</w:t>
            </w:r>
          </w:p>
        </w:tc>
        <w:tc>
          <w:tcPr>
            <w:tcW w:type="dxa" w:w="1349"/>
          </w:tcPr>
          <w:p>
            <w:pPr>
              <w:pStyle w:val="Compact"/>
              <w:jc w:val="left"/>
            </w:pPr>
            <w:r>
              <w:rPr>
                <w:sz w:val="17"/>
              </w:rPr>
              <w:t xml:space="preserve">Black et al. (2024)</w:t>
            </w:r>
          </w:p>
        </w:tc>
        <w:tc>
          <w:tcPr>
            <w:tcW w:type="dxa" w:w="3181"/>
          </w:tcPr>
          <w:p>
            <w:pPr>
              <w:pStyle w:val="Compact"/>
              <w:jc w:val="left"/>
            </w:pPr>
            <w:r>
              <w:rPr>
                <w:sz w:val="17"/>
              </w:rPr>
              <w:t xml:space="preserve">“</w:t>
            </w:r>
            <w:r>
              <w:rPr>
                <w:sz w:val="17"/>
              </w:rPr>
              <w:t xml:space="preserve">AFNs actors perceive the UK FS as not resilient</w:t>
            </w:r>
            <w:r>
              <w:rPr>
                <w:sz w:val="17"/>
              </w:rPr>
              <w:t xml:space="preserve">”</w:t>
            </w:r>
          </w:p>
        </w:tc>
        <w:tc>
          <w:tcPr>
            <w:tcW w:type="dxa" w:w="964"/>
          </w:tcPr>
          <w:p>
            <w:pPr>
              <w:pStyle w:val="Compact"/>
              <w:jc w:val="left"/>
            </w:pPr>
            <w:r>
              <w:rPr>
                <w:sz w:val="17"/>
              </w:rPr>
              <w:t xml:space="preserve">p. 57</w:t>
            </w:r>
          </w:p>
        </w:tc>
      </w:tr>
      <w:tr>
        <w:tc>
          <w:tcPr>
            <w:tcW w:type="dxa" w:w="578"/>
          </w:tcPr>
          <w:p>
            <w:pPr>
              <w:pStyle w:val="Compact"/>
              <w:jc w:val="left"/>
            </w:pPr>
            <w:r>
              <w:rPr>
                <w:sz w:val="17"/>
              </w:rPr>
              <w:t xml:space="preserve">E41</w:t>
            </w:r>
          </w:p>
        </w:tc>
        <w:tc>
          <w:tcPr>
            <w:tcW w:type="dxa" w:w="2506"/>
          </w:tcPr>
          <w:p>
            <w:pPr>
              <w:pStyle w:val="Compact"/>
              <w:jc w:val="left"/>
            </w:pPr>
            <w:r>
              <w:rPr>
                <w:sz w:val="17"/>
              </w:rPr>
              <w:t xml:space="preserve">Béné et al. analysed 191 countries over 2000–2022</w:t>
            </w:r>
          </w:p>
        </w:tc>
        <w:tc>
          <w:tcPr>
            <w:tcW w:type="dxa" w:w="1060"/>
          </w:tcPr>
          <w:p>
            <w:pPr>
              <w:pStyle w:val="Compact"/>
              <w:jc w:val="left"/>
            </w:pPr>
            <w:r>
              <w:rPr>
                <w:sz w:val="17"/>
              </w:rPr>
              <w:t xml:space="preserve">Implications</w:t>
            </w:r>
          </w:p>
        </w:tc>
        <w:tc>
          <w:tcPr>
            <w:tcW w:type="dxa" w:w="1349"/>
          </w:tcPr>
          <w:p>
            <w:pPr>
              <w:pStyle w:val="Compact"/>
              <w:jc w:val="left"/>
            </w:pPr>
            <w:r>
              <w:rPr>
                <w:sz w:val="17"/>
              </w:rPr>
              <w:t xml:space="preserve">Béné et al. (2026)</w:t>
            </w:r>
          </w:p>
        </w:tc>
        <w:tc>
          <w:tcPr>
            <w:tcW w:type="dxa" w:w="3181"/>
          </w:tcPr>
          <w:p>
            <w:pPr>
              <w:pStyle w:val="Compact"/>
              <w:jc w:val="left"/>
            </w:pPr>
            <w:r>
              <w:rPr>
                <w:sz w:val="17"/>
              </w:rPr>
              <w:t xml:space="preserve">“</w:t>
            </w:r>
            <w:r>
              <w:rPr>
                <w:sz w:val="17"/>
              </w:rPr>
              <w:t xml:space="preserve">Annual data were available for 191 countries</w:t>
            </w:r>
            <w:r>
              <w:rPr>
                <w:sz w:val="17"/>
              </w:rPr>
              <w:t xml:space="preserve">”</w:t>
            </w:r>
          </w:p>
        </w:tc>
        <w:tc>
          <w:tcPr>
            <w:tcW w:type="dxa" w:w="964"/>
          </w:tcPr>
          <w:p>
            <w:pPr>
              <w:pStyle w:val="Compact"/>
              <w:jc w:val="left"/>
            </w:pPr>
            <w:r>
              <w:rPr>
                <w:sz w:val="17"/>
              </w:rPr>
              <w:t xml:space="preserve">PDF p. 4</w:t>
            </w:r>
          </w:p>
        </w:tc>
      </w:tr>
    </w:tbl>
    <w:bookmarkEnd w:id="27"/>
    <w:sectPr>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system resilience</dc:title>
  <dc:creator/>
  <cp:keywords/>
  <dcterms:created xsi:type="dcterms:W3CDTF">2026-10-28T08:32:52Z</dcterms:created>
  <dcterms:modified xsi:type="dcterms:W3CDTF">2026-10-28T08:32:52Z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Concept review (J06) · also: food resilience, resilient food systems · draft, 28 October 2026</vt:lpwstr>
  </property>
</Properties>
</file>