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06F91" w14:textId="3EC3A5F3" w:rsidR="00FB019D" w:rsidRDefault="0093348E">
      <w:pPr>
        <w:pStyle w:val="Heading1"/>
        <w:spacing w:before="0"/>
      </w:pPr>
      <w:r>
        <w:t>r</w:t>
      </w:r>
      <w:r w:rsidR="00000000">
        <w:t>Scaling Sustainable Agri-Food Systems</w:t>
      </w:r>
    </w:p>
    <w:p w14:paraId="5B706F92" w14:textId="77777777" w:rsidR="00FB019D" w:rsidRDefault="00000000">
      <w:pPr>
        <w:pBdr>
          <w:top w:val="nil"/>
          <w:left w:val="nil"/>
          <w:bottom w:val="nil"/>
          <w:right w:val="nil"/>
          <w:between w:val="nil"/>
        </w:pBdr>
        <w:ind w:left="0" w:right="0"/>
        <w:rPr>
          <w:color w:val="808080"/>
          <w:sz w:val="18"/>
          <w:szCs w:val="18"/>
        </w:rPr>
      </w:pPr>
      <w:hyperlink r:id="rId5">
        <w:r>
          <w:rPr>
            <w:color w:val="808080"/>
            <w:sz w:val="18"/>
            <w:szCs w:val="18"/>
          </w:rPr>
          <w:t>https://gemini.google.com/app/4f9e2747304b6b30</w:t>
        </w:r>
      </w:hyperlink>
    </w:p>
    <w:p w14:paraId="5B706F93" w14:textId="77777777" w:rsidR="00FB019D" w:rsidRDefault="00FB019D">
      <w:pPr>
        <w:pBdr>
          <w:top w:val="nil"/>
          <w:left w:val="nil"/>
          <w:bottom w:val="nil"/>
          <w:right w:val="nil"/>
          <w:between w:val="nil"/>
        </w:pBdr>
        <w:spacing w:before="0" w:after="0"/>
        <w:ind w:left="0" w:right="0"/>
        <w:rPr>
          <w:color w:val="808080"/>
          <w:sz w:val="18"/>
          <w:szCs w:val="18"/>
        </w:rPr>
      </w:pPr>
    </w:p>
    <w:p w14:paraId="5B706F94"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Check this file and also the repo on GitHub (especially concept folder) https://github.com/quochus/concept-catalogue We will discuss around that, but don't focus on too trivial details. Each time I give response, try to critique it as an expert in the field. Utilize peer-reviewed papers and reports, which have been mentioned in the repo and also those through online search. First, please brainstorm 20+ general questions about scaling regenerative and sustainable agri-food systems/products.</w:t>
      </w:r>
    </w:p>
    <w:p w14:paraId="5B706F95" w14:textId="77777777" w:rsidR="00FB019D" w:rsidRDefault="00000000">
      <w:pPr>
        <w:pBdr>
          <w:top w:val="nil"/>
          <w:left w:val="nil"/>
          <w:bottom w:val="nil"/>
          <w:right w:val="nil"/>
          <w:between w:val="nil"/>
        </w:pBdr>
        <w:spacing w:before="0" w:after="320"/>
        <w:ind w:left="0" w:right="0"/>
      </w:pPr>
      <w:r>
        <w:t xml:space="preserve">Response: Here is a set of </w:t>
      </w:r>
      <w:r>
        <w:rPr>
          <w:b/>
          <w:bCs/>
        </w:rPr>
        <w:t>25 general, high-level questions</w:t>
      </w:r>
      <w:r>
        <w:t xml:space="preserve"> for examining the scaling of sustainable and regenerative agri-food systems and products, structured across governance, value chain mechanics, behavioral economics, and systems transformation.</w:t>
      </w:r>
    </w:p>
    <w:p w14:paraId="5B706F96" w14:textId="77777777" w:rsidR="00FB019D" w:rsidRDefault="00000000">
      <w:pPr>
        <w:pStyle w:val="Heading3"/>
        <w:spacing w:before="0"/>
      </w:pPr>
      <w:r>
        <w:t>Part I: Governance, Policy Coordination, and Institutional Lock-ins</w:t>
      </w:r>
    </w:p>
    <w:p w14:paraId="5B706F97" w14:textId="77777777" w:rsidR="00FB019D" w:rsidRDefault="00000000">
      <w:pPr>
        <w:numPr>
          <w:ilvl w:val="0"/>
          <w:numId w:val="1"/>
        </w:numPr>
        <w:pBdr>
          <w:top w:val="nil"/>
          <w:left w:val="nil"/>
          <w:bottom w:val="nil"/>
          <w:right w:val="nil"/>
          <w:between w:val="nil"/>
        </w:pBdr>
        <w:spacing w:before="0" w:after="0"/>
        <w:ind w:right="0"/>
      </w:pPr>
      <w:r>
        <w:rPr>
          <w:b/>
          <w:bCs/>
        </w:rPr>
        <w:t>Policy Coherence &amp; Silos:</w:t>
      </w:r>
      <w:r>
        <w:t xml:space="preserve"> How can multi-sectoral governance frameworks (e.g., spanning agriculture, health, trade, and environment ministries) reconcile structural contradictions where conventional input subsidies actively undermine agroecological and regenerative transitions?</w:t>
      </w:r>
    </w:p>
    <w:p w14:paraId="5B706F98" w14:textId="77777777" w:rsidR="00FB019D" w:rsidRDefault="00000000">
      <w:pPr>
        <w:numPr>
          <w:ilvl w:val="0"/>
          <w:numId w:val="1"/>
        </w:numPr>
        <w:pBdr>
          <w:top w:val="nil"/>
          <w:left w:val="nil"/>
          <w:bottom w:val="nil"/>
          <w:right w:val="nil"/>
          <w:between w:val="nil"/>
        </w:pBdr>
        <w:spacing w:before="0" w:after="0"/>
        <w:ind w:right="0"/>
      </w:pPr>
      <w:r>
        <w:rPr>
          <w:b/>
          <w:bCs/>
        </w:rPr>
        <w:t>Standardization vs. Pluralism:</w:t>
      </w:r>
      <w:r>
        <w:t xml:space="preserve"> To what extent do top-down state-mandated certification schemes (such as national Good Agricultural Practices) act as bureaucratic barriers rather than market enablers for smallholder-dominated value chains, and how can participatory guarantee systems (PGS) be legally institutionalized without losing their grassroots flexibility?</w:t>
      </w:r>
    </w:p>
    <w:p w14:paraId="5B706F99" w14:textId="77777777" w:rsidR="00FB019D" w:rsidRDefault="00000000">
      <w:pPr>
        <w:numPr>
          <w:ilvl w:val="0"/>
          <w:numId w:val="1"/>
        </w:numPr>
        <w:pBdr>
          <w:top w:val="nil"/>
          <w:left w:val="nil"/>
          <w:bottom w:val="nil"/>
          <w:right w:val="nil"/>
          <w:between w:val="nil"/>
        </w:pBdr>
        <w:spacing w:before="0" w:after="0"/>
        <w:ind w:right="0"/>
      </w:pPr>
      <w:r>
        <w:rPr>
          <w:b/>
          <w:bCs/>
        </w:rPr>
        <w:t>Cross-Border Harmonization:</w:t>
      </w:r>
      <w:r>
        <w:t xml:space="preserve"> In regional trading blocs like ASEAN, how can mutual recognition agreements for sustainable production standards be operationalized to prevent technical trade barriers while protecting domestic producers from uneven compliance costs?</w:t>
      </w:r>
    </w:p>
    <w:p w14:paraId="5B706F9A" w14:textId="77777777" w:rsidR="00FB019D" w:rsidRDefault="00000000">
      <w:pPr>
        <w:numPr>
          <w:ilvl w:val="0"/>
          <w:numId w:val="1"/>
        </w:numPr>
        <w:pBdr>
          <w:top w:val="nil"/>
          <w:left w:val="nil"/>
          <w:bottom w:val="nil"/>
          <w:right w:val="nil"/>
          <w:between w:val="nil"/>
        </w:pBdr>
        <w:spacing w:before="0" w:after="0"/>
        <w:ind w:right="0"/>
      </w:pPr>
      <w:r>
        <w:rPr>
          <w:b/>
          <w:bCs/>
        </w:rPr>
        <w:t>Institutionalizing Public Procurement:</w:t>
      </w:r>
      <w:r>
        <w:t xml:space="preserve"> What regulatory reforms and fiscal flexibilities are required to transform national school feeding and public food procurement programs into stable, long-term market anchors for localized regenerative agri-food products?</w:t>
      </w:r>
    </w:p>
    <w:p w14:paraId="5B706F9B" w14:textId="77777777" w:rsidR="00FB019D" w:rsidRDefault="00000000">
      <w:pPr>
        <w:numPr>
          <w:ilvl w:val="0"/>
          <w:numId w:val="1"/>
        </w:numPr>
        <w:pBdr>
          <w:top w:val="nil"/>
          <w:left w:val="nil"/>
          <w:bottom w:val="nil"/>
          <w:right w:val="nil"/>
          <w:between w:val="nil"/>
        </w:pBdr>
        <w:spacing w:before="0" w:after="0"/>
        <w:ind w:right="0"/>
      </w:pPr>
      <w:r>
        <w:rPr>
          <w:b/>
          <w:bCs/>
        </w:rPr>
        <w:t>Overcoming Incumbent Lock-ins:</w:t>
      </w:r>
      <w:r>
        <w:t xml:space="preserve"> How can policy mixes effectively deploy elements of "creative destruction"—simultaneously withdrawing support for input-intensive, extractive production models while protecting vulnerable smallholders during the multi-year transition phase?</w:t>
      </w:r>
    </w:p>
    <w:p w14:paraId="5B706F9C" w14:textId="77777777" w:rsidR="00FB019D" w:rsidRDefault="00000000">
      <w:pPr>
        <w:pStyle w:val="Heading3"/>
      </w:pPr>
      <w:r>
        <w:t>Part II: Value Creation, Translation, and Economic Capture</w:t>
      </w:r>
    </w:p>
    <w:p w14:paraId="5B706F9D" w14:textId="77777777" w:rsidR="00FB019D" w:rsidRDefault="00000000">
      <w:pPr>
        <w:numPr>
          <w:ilvl w:val="0"/>
          <w:numId w:val="18"/>
        </w:numPr>
        <w:pBdr>
          <w:top w:val="nil"/>
          <w:left w:val="nil"/>
          <w:bottom w:val="nil"/>
          <w:right w:val="nil"/>
          <w:between w:val="nil"/>
        </w:pBdr>
        <w:spacing w:before="0" w:after="0"/>
        <w:ind w:right="0"/>
      </w:pPr>
      <w:r>
        <w:rPr>
          <w:b/>
          <w:bCs/>
        </w:rPr>
        <w:t>The Transition Debt Trap:</w:t>
      </w:r>
      <w:r>
        <w:t xml:space="preserve"> Given that regenerative practices often incur initial yield penalties and high upfront labor costs, what blended finance architectures and risk-sharing mechanisms (e.g., transition insurance, carbon credits, or targeted subsidies) are required to bridge the multi-season revenue gap?</w:t>
      </w:r>
    </w:p>
    <w:p w14:paraId="5B706F9E" w14:textId="77777777" w:rsidR="00FB019D" w:rsidRDefault="00000000">
      <w:pPr>
        <w:numPr>
          <w:ilvl w:val="0"/>
          <w:numId w:val="18"/>
        </w:numPr>
        <w:pBdr>
          <w:top w:val="nil"/>
          <w:left w:val="nil"/>
          <w:bottom w:val="nil"/>
          <w:right w:val="nil"/>
          <w:between w:val="nil"/>
        </w:pBdr>
        <w:spacing w:before="0" w:after="0"/>
        <w:ind w:right="0"/>
      </w:pPr>
      <w:r>
        <w:rPr>
          <w:b/>
          <w:bCs/>
        </w:rPr>
        <w:t>Value Distribution Along the Chain:</w:t>
      </w:r>
      <w:r>
        <w:t xml:space="preserve"> In export-oriented commodity chains dominated by upstream traders and midstream processors, what structural governance shifts are necessary to ensure that price premiums generated by sustainability claims are actually captured by primary producers rather than absorbed downstream?</w:t>
      </w:r>
    </w:p>
    <w:p w14:paraId="5B706F9F" w14:textId="77777777" w:rsidR="00FB019D" w:rsidRDefault="00000000">
      <w:pPr>
        <w:numPr>
          <w:ilvl w:val="0"/>
          <w:numId w:val="18"/>
        </w:numPr>
        <w:pBdr>
          <w:top w:val="nil"/>
          <w:left w:val="nil"/>
          <w:bottom w:val="nil"/>
          <w:right w:val="nil"/>
          <w:between w:val="nil"/>
        </w:pBdr>
        <w:spacing w:before="0" w:after="0"/>
        <w:ind w:right="0"/>
      </w:pPr>
      <w:r>
        <w:rPr>
          <w:b/>
          <w:bCs/>
        </w:rPr>
        <w:lastRenderedPageBreak/>
        <w:t>Credence Attributes and the "Lemons" Problem:</w:t>
      </w:r>
      <w:r>
        <w:t xml:space="preserve"> When environmental and social attributes function strictly as credence goods, how can digital transparency and traceability technologies (such as blockchain or lightweight QR ecosystems) mitigate consumer skepticism without introducing prohibitive compliance and digital literacy barriers for smallholders?</w:t>
      </w:r>
    </w:p>
    <w:p w14:paraId="5B706FA0" w14:textId="77777777" w:rsidR="00FB019D" w:rsidRDefault="00000000">
      <w:pPr>
        <w:numPr>
          <w:ilvl w:val="0"/>
          <w:numId w:val="18"/>
        </w:numPr>
        <w:pBdr>
          <w:top w:val="nil"/>
          <w:left w:val="nil"/>
          <w:bottom w:val="nil"/>
          <w:right w:val="nil"/>
          <w:between w:val="nil"/>
        </w:pBdr>
        <w:spacing w:before="0" w:after="0"/>
        <w:ind w:right="0"/>
      </w:pPr>
      <w:r>
        <w:rPr>
          <w:b/>
          <w:bCs/>
        </w:rPr>
        <w:t>Commodity vs. Diversified Farming Systems:</w:t>
      </w:r>
      <w:r>
        <w:t xml:space="preserve"> Can single-commodity certification schemes ever deliver household-level livelihood security, or does economic resilience inherently require shifting scaling strategies toward diversified farming portfolios and local processing networks?</w:t>
      </w:r>
    </w:p>
    <w:p w14:paraId="5B706FA1" w14:textId="77777777" w:rsidR="00FB019D" w:rsidRDefault="00000000">
      <w:pPr>
        <w:numPr>
          <w:ilvl w:val="0"/>
          <w:numId w:val="18"/>
        </w:numPr>
        <w:pBdr>
          <w:top w:val="nil"/>
          <w:left w:val="nil"/>
          <w:bottom w:val="nil"/>
          <w:right w:val="nil"/>
          <w:between w:val="nil"/>
        </w:pBdr>
        <w:spacing w:before="0" w:after="0"/>
        <w:ind w:right="0"/>
      </w:pPr>
      <w:r>
        <w:rPr>
          <w:b/>
          <w:bCs/>
        </w:rPr>
        <w:t>The Cost of Verification:</w:t>
      </w:r>
      <w:r>
        <w:t xml:space="preserve"> How can verification models evolve past expensive third-party auditing to create scalable, low-cost credibility frameworks that maintain international market access while remaining economically viable for small-scale landholders?</w:t>
      </w:r>
    </w:p>
    <w:p w14:paraId="5B706FA2" w14:textId="77777777" w:rsidR="00FB019D" w:rsidRDefault="00000000">
      <w:pPr>
        <w:pStyle w:val="Heading3"/>
      </w:pPr>
      <w:r>
        <w:t>Part III: Consumer Behavior, Choice Architecture, and the Attitude-Behavior Gap</w:t>
      </w:r>
    </w:p>
    <w:p w14:paraId="5B706FA3" w14:textId="77777777" w:rsidR="00FB019D" w:rsidRDefault="00000000">
      <w:pPr>
        <w:numPr>
          <w:ilvl w:val="0"/>
          <w:numId w:val="35"/>
        </w:numPr>
        <w:pBdr>
          <w:top w:val="nil"/>
          <w:left w:val="nil"/>
          <w:bottom w:val="nil"/>
          <w:right w:val="nil"/>
          <w:between w:val="nil"/>
        </w:pBdr>
        <w:spacing w:before="0" w:after="0"/>
        <w:ind w:right="0"/>
      </w:pPr>
      <w:r>
        <w:rPr>
          <w:b/>
          <w:bCs/>
        </w:rPr>
        <w:t>Decoding the "Health Halo":</w:t>
      </w:r>
      <w:r>
        <w:t xml:space="preserve"> Given that consumers routinely conflate environmental sustainability with personal health benefits, should marketing and behavioral interventions explicitly lead with food safety and nutrition or attempt to cultivate direct intrinsic motivations for ecological stewardship?</w:t>
      </w:r>
    </w:p>
    <w:p w14:paraId="5B706FA4" w14:textId="77777777" w:rsidR="00FB019D" w:rsidRDefault="00000000">
      <w:pPr>
        <w:numPr>
          <w:ilvl w:val="0"/>
          <w:numId w:val="35"/>
        </w:numPr>
        <w:pBdr>
          <w:top w:val="nil"/>
          <w:left w:val="nil"/>
          <w:bottom w:val="nil"/>
          <w:right w:val="nil"/>
          <w:between w:val="nil"/>
        </w:pBdr>
        <w:spacing w:before="0" w:after="0"/>
        <w:ind w:right="0"/>
      </w:pPr>
      <w:r>
        <w:rPr>
          <w:b/>
          <w:bCs/>
        </w:rPr>
        <w:t>Pricing and Affordability Constraints:</w:t>
      </w:r>
      <w:r>
        <w:t xml:space="preserve"> In emerging economies characterized by diverse household purchasing power, how can sustainable and safe food products overcome the structural price barrier to avoid becoming elite niche commodities?</w:t>
      </w:r>
    </w:p>
    <w:p w14:paraId="5B706FA5" w14:textId="77777777" w:rsidR="00FB019D" w:rsidRDefault="00000000">
      <w:pPr>
        <w:numPr>
          <w:ilvl w:val="0"/>
          <w:numId w:val="35"/>
        </w:numPr>
        <w:pBdr>
          <w:top w:val="nil"/>
          <w:left w:val="nil"/>
          <w:bottom w:val="nil"/>
          <w:right w:val="nil"/>
          <w:between w:val="nil"/>
        </w:pBdr>
        <w:spacing w:before="0" w:after="0"/>
        <w:ind w:right="0"/>
      </w:pPr>
      <w:r>
        <w:rPr>
          <w:b/>
          <w:bCs/>
        </w:rPr>
        <w:t>Choice Architecture in Modern Retailing:</w:t>
      </w:r>
      <w:r>
        <w:t xml:space="preserve"> Beyond eco-labels and consumer awareness campaigns, how effective are structural changes in the retail food environment (such as default placements, store zoning, and institutional nudges) in shifting habitual purchasing behavior toward sustainable diets?</w:t>
      </w:r>
    </w:p>
    <w:p w14:paraId="5B706FA6" w14:textId="77777777" w:rsidR="00FB019D" w:rsidRDefault="00000000">
      <w:pPr>
        <w:numPr>
          <w:ilvl w:val="0"/>
          <w:numId w:val="35"/>
        </w:numPr>
        <w:pBdr>
          <w:top w:val="nil"/>
          <w:left w:val="nil"/>
          <w:bottom w:val="nil"/>
          <w:right w:val="nil"/>
          <w:between w:val="nil"/>
        </w:pBdr>
        <w:spacing w:before="0" w:after="0"/>
        <w:ind w:right="0"/>
      </w:pPr>
      <w:r>
        <w:rPr>
          <w:b/>
          <w:bCs/>
        </w:rPr>
        <w:t>Trust as System Infrastructure:</w:t>
      </w:r>
      <w:r>
        <w:t xml:space="preserve"> What determines the elasticity of consumer trust in food safety claims, and how rapidly do systemic governance failures (such as unverified labeling scandals or uncoordinated regional standards) erode market confidence across entire product categories?</w:t>
      </w:r>
    </w:p>
    <w:p w14:paraId="5B706FA7" w14:textId="77777777" w:rsidR="00FB019D" w:rsidRDefault="00000000">
      <w:pPr>
        <w:numPr>
          <w:ilvl w:val="0"/>
          <w:numId w:val="35"/>
        </w:numPr>
        <w:pBdr>
          <w:top w:val="nil"/>
          <w:left w:val="nil"/>
          <w:bottom w:val="nil"/>
          <w:right w:val="nil"/>
          <w:between w:val="nil"/>
        </w:pBdr>
        <w:spacing w:before="0" w:after="0"/>
        <w:ind w:right="0"/>
      </w:pPr>
      <w:r>
        <w:rPr>
          <w:b/>
          <w:bCs/>
        </w:rPr>
        <w:t>Cultural Norms and Dietary Transitions:</w:t>
      </w:r>
      <w:r>
        <w:t xml:space="preserve"> How do rapid urbanization and the proliferation of ultra-processed convenience foods alter traditional dietary preferences, and can regenerative local value chains compete effectively against the convenience economics of modern retail food environments?</w:t>
      </w:r>
    </w:p>
    <w:p w14:paraId="5B706FA8" w14:textId="77777777" w:rsidR="00FB019D" w:rsidRDefault="00000000">
      <w:pPr>
        <w:pStyle w:val="Heading3"/>
      </w:pPr>
      <w:r>
        <w:t>Part IV: Systems Scaling Dynamics (Scaling Out, Up, and Deep)</w:t>
      </w:r>
    </w:p>
    <w:p w14:paraId="5B706FA9" w14:textId="77777777" w:rsidR="00FB019D" w:rsidRDefault="00000000">
      <w:pPr>
        <w:numPr>
          <w:ilvl w:val="0"/>
          <w:numId w:val="52"/>
        </w:numPr>
        <w:pBdr>
          <w:top w:val="nil"/>
          <w:left w:val="nil"/>
          <w:bottom w:val="nil"/>
          <w:right w:val="nil"/>
          <w:between w:val="nil"/>
        </w:pBdr>
        <w:spacing w:before="0" w:after="0"/>
        <w:ind w:right="0"/>
      </w:pPr>
      <w:r>
        <w:rPr>
          <w:b/>
          <w:bCs/>
        </w:rPr>
        <w:t>Replication vs. Systems Adaptation:</w:t>
      </w:r>
      <w:r>
        <w:t xml:space="preserve"> In agricultural innovation studies, how do we shift evaluation frameworks away from the simplistic "adoption paradigm" (counting individual farmers) toward achieving systemic, place-based socio-ecological change at scale?</w:t>
      </w:r>
    </w:p>
    <w:p w14:paraId="5B706FAA" w14:textId="77777777" w:rsidR="00FB019D" w:rsidRDefault="00000000">
      <w:pPr>
        <w:numPr>
          <w:ilvl w:val="0"/>
          <w:numId w:val="52"/>
        </w:numPr>
        <w:pBdr>
          <w:top w:val="nil"/>
          <w:left w:val="nil"/>
          <w:bottom w:val="nil"/>
          <w:right w:val="nil"/>
          <w:between w:val="nil"/>
        </w:pBdr>
        <w:spacing w:before="0" w:after="0"/>
        <w:ind w:right="0"/>
      </w:pPr>
      <w:r>
        <w:rPr>
          <w:b/>
          <w:bCs/>
        </w:rPr>
        <w:t>Power Dynamics in Territorial Markets:</w:t>
      </w:r>
      <w:r>
        <w:t xml:space="preserve"> When scaling alternative food networks, how do local initiatives navigate the risk of institutional co-optation by the state or industrial capture by major corporate actors without losing their foundational social and ecological values?</w:t>
      </w:r>
    </w:p>
    <w:p w14:paraId="5B706FAB" w14:textId="77777777" w:rsidR="00FB019D" w:rsidRDefault="00000000">
      <w:pPr>
        <w:numPr>
          <w:ilvl w:val="0"/>
          <w:numId w:val="52"/>
        </w:numPr>
        <w:pBdr>
          <w:top w:val="nil"/>
          <w:left w:val="nil"/>
          <w:bottom w:val="nil"/>
          <w:right w:val="nil"/>
          <w:between w:val="nil"/>
        </w:pBdr>
        <w:spacing w:before="0" w:after="0"/>
        <w:ind w:right="0"/>
      </w:pPr>
      <w:r>
        <w:rPr>
          <w:b/>
          <w:bCs/>
        </w:rPr>
        <w:t>The Role of Intermediaries as Innovation Brokers:</w:t>
      </w:r>
      <w:r>
        <w:t xml:space="preserve"> What distinct structural roles do cooperatives, non-governmental organizations, and local market intermediaries play in bridging the gap between localized regenerative production experiments and macro-level urban markets?</w:t>
      </w:r>
    </w:p>
    <w:p w14:paraId="5B706FAC" w14:textId="77777777" w:rsidR="00FB019D" w:rsidRDefault="00000000">
      <w:pPr>
        <w:numPr>
          <w:ilvl w:val="0"/>
          <w:numId w:val="52"/>
        </w:numPr>
        <w:pBdr>
          <w:top w:val="nil"/>
          <w:left w:val="nil"/>
          <w:bottom w:val="nil"/>
          <w:right w:val="nil"/>
          <w:between w:val="nil"/>
        </w:pBdr>
        <w:spacing w:before="0" w:after="0"/>
        <w:ind w:right="0"/>
      </w:pPr>
      <w:r>
        <w:rPr>
          <w:b/>
          <w:bCs/>
        </w:rPr>
        <w:t>Metrics of Transformative Change:</w:t>
      </w:r>
      <w:r>
        <w:t xml:space="preserve"> What multidimensional, multi-scale indicator sets can adequately capture the long-term, synergistic evolution of soil health, biodiversity recovery, and community social equity without overwhelming local implementation partners with excessive data collection burdens?</w:t>
      </w:r>
    </w:p>
    <w:p w14:paraId="5B706FAD" w14:textId="77777777" w:rsidR="00FB019D" w:rsidRDefault="00000000">
      <w:pPr>
        <w:numPr>
          <w:ilvl w:val="0"/>
          <w:numId w:val="52"/>
        </w:numPr>
        <w:pBdr>
          <w:top w:val="nil"/>
          <w:left w:val="nil"/>
          <w:bottom w:val="nil"/>
          <w:right w:val="nil"/>
          <w:between w:val="nil"/>
        </w:pBdr>
        <w:spacing w:before="0" w:after="0"/>
        <w:ind w:right="0"/>
      </w:pPr>
      <w:r>
        <w:rPr>
          <w:b/>
          <w:bCs/>
        </w:rPr>
        <w:t>Contextualizing Agroecology and Regenerative Agriculture:</w:t>
      </w:r>
      <w:r>
        <w:t xml:space="preserve"> To what extent does the depoliticized, carbon-centric framing of "regenerative agriculture" risk commodifying natural ecosystems compared to comprehensive, socially transformative agroecological movements?</w:t>
      </w:r>
    </w:p>
    <w:p w14:paraId="5B706FAE" w14:textId="77777777" w:rsidR="00FB019D" w:rsidRDefault="00000000">
      <w:pPr>
        <w:pStyle w:val="Heading3"/>
      </w:pPr>
      <w:r>
        <w:lastRenderedPageBreak/>
        <w:t>Part V: Operationalizing Food Systems Transformation</w:t>
      </w:r>
    </w:p>
    <w:p w14:paraId="5B706FAF" w14:textId="77777777" w:rsidR="00FB019D" w:rsidRDefault="00000000">
      <w:pPr>
        <w:numPr>
          <w:ilvl w:val="0"/>
          <w:numId w:val="69"/>
        </w:numPr>
        <w:pBdr>
          <w:top w:val="nil"/>
          <w:left w:val="nil"/>
          <w:bottom w:val="nil"/>
          <w:right w:val="nil"/>
          <w:between w:val="nil"/>
        </w:pBdr>
        <w:spacing w:before="0" w:after="0"/>
        <w:ind w:right="0"/>
      </w:pPr>
      <w:r>
        <w:rPr>
          <w:b/>
          <w:bCs/>
        </w:rPr>
        <w:t>Climate Vulnerability and Adaptive Capacity:</w:t>
      </w:r>
      <w:r>
        <w:t xml:space="preserve"> How do recurring climate shocks (such as extreme droughts, irregular monsoons, and soil degradation) alter smallholders' risk calculi regarding the adoption of labor-intensive regenerative practices?</w:t>
      </w:r>
    </w:p>
    <w:p w14:paraId="5B706FB0" w14:textId="77777777" w:rsidR="00FB019D" w:rsidRDefault="00000000">
      <w:pPr>
        <w:numPr>
          <w:ilvl w:val="0"/>
          <w:numId w:val="69"/>
        </w:numPr>
        <w:pBdr>
          <w:top w:val="nil"/>
          <w:left w:val="nil"/>
          <w:bottom w:val="nil"/>
          <w:right w:val="nil"/>
          <w:between w:val="nil"/>
        </w:pBdr>
        <w:spacing w:before="0" w:after="0"/>
        <w:ind w:right="0"/>
      </w:pPr>
      <w:r>
        <w:rPr>
          <w:b/>
          <w:bCs/>
        </w:rPr>
        <w:t>Data Asymmetries in Value Chains:</w:t>
      </w:r>
      <w:r>
        <w:t xml:space="preserve"> How can data feedback loops between urban consumer demand preferences and rural farm-level management practices be shortened to improve adaptive planning among producer cooperatives?</w:t>
      </w:r>
    </w:p>
    <w:p w14:paraId="5B706FB1" w14:textId="77777777" w:rsidR="00FB019D" w:rsidRDefault="00000000">
      <w:pPr>
        <w:numPr>
          <w:ilvl w:val="0"/>
          <w:numId w:val="69"/>
        </w:numPr>
        <w:pBdr>
          <w:top w:val="nil"/>
          <w:left w:val="nil"/>
          <w:bottom w:val="nil"/>
          <w:right w:val="nil"/>
          <w:between w:val="nil"/>
        </w:pBdr>
        <w:spacing w:before="0" w:after="0"/>
        <w:ind w:right="0"/>
      </w:pPr>
      <w:r>
        <w:rPr>
          <w:b/>
          <w:bCs/>
        </w:rPr>
        <w:t>Gender and Social Equity in Upgrading:</w:t>
      </w:r>
      <w:r>
        <w:t xml:space="preserve"> How do gender norms and labor constraints within smallholder households influence the division of labor during agroecological transitions, and how can value-chain interventions prevent the reinforcement of existing rural inequities?</w:t>
      </w:r>
    </w:p>
    <w:p w14:paraId="5B706FB2" w14:textId="77777777" w:rsidR="00FB019D" w:rsidRDefault="00000000">
      <w:pPr>
        <w:numPr>
          <w:ilvl w:val="0"/>
          <w:numId w:val="69"/>
        </w:numPr>
        <w:pBdr>
          <w:top w:val="nil"/>
          <w:left w:val="nil"/>
          <w:bottom w:val="nil"/>
          <w:right w:val="nil"/>
          <w:between w:val="nil"/>
        </w:pBdr>
        <w:spacing w:before="0" w:after="0"/>
        <w:ind w:right="0"/>
      </w:pPr>
      <w:r>
        <w:rPr>
          <w:b/>
          <w:bCs/>
        </w:rPr>
        <w:t>Local Feedstock and Input Sovereignty:</w:t>
      </w:r>
      <w:r>
        <w:t xml:space="preserve"> What are the structural bottlenecks in scaling domestic bio-input supply chains (such as cover crop seed networks or organic fertilizer production), and how do they impact the economic viability of regenerative transitions?</w:t>
      </w:r>
    </w:p>
    <w:p w14:paraId="5B706FB3" w14:textId="77777777" w:rsidR="00FB019D" w:rsidRDefault="00000000">
      <w:pPr>
        <w:numPr>
          <w:ilvl w:val="0"/>
          <w:numId w:val="69"/>
        </w:numPr>
        <w:pBdr>
          <w:top w:val="nil"/>
          <w:left w:val="nil"/>
          <w:bottom w:val="nil"/>
          <w:right w:val="nil"/>
          <w:between w:val="nil"/>
        </w:pBdr>
        <w:spacing w:before="0" w:after="0"/>
        <w:ind w:right="0"/>
      </w:pPr>
      <w:r>
        <w:rPr>
          <w:b/>
          <w:bCs/>
        </w:rPr>
        <w:t>The Limits of Market-Led Conservation:</w:t>
      </w:r>
      <w:r>
        <w:t xml:space="preserve"> When market premiums fail to materialize or fluctuate unpredictably, what non-market governance mechanisms (such as agrarian social movements, community-supported agriculture, or public stewardship payments) provide the most stable foundation for long-term ecological restoration?</w:t>
      </w:r>
    </w:p>
    <w:p w14:paraId="5B706FB4" w14:textId="77777777" w:rsidR="00FB019D" w:rsidRDefault="00000000">
      <w:pPr>
        <w:pBdr>
          <w:top w:val="nil"/>
          <w:left w:val="nil"/>
          <w:bottom w:val="nil"/>
          <w:right w:val="nil"/>
          <w:between w:val="nil"/>
        </w:pBdr>
        <w:spacing w:before="320" w:after="320"/>
        <w:ind w:left="0" w:right="0"/>
      </w:pPr>
      <w:r>
        <w:t>Whenever you are ready, provide your response or initial thoughts on any of these angles or specific components of the repo/file, and we will critically analyze them from an empirical, systems-thinking perspective.</w:t>
      </w:r>
    </w:p>
    <w:p w14:paraId="5B706FB5" w14:textId="77777777" w:rsidR="00FB019D" w:rsidRDefault="00000000">
      <w:pPr>
        <w:pBdr>
          <w:top w:val="nil"/>
          <w:left w:val="nil"/>
          <w:bottom w:val="nil"/>
          <w:right w:val="nil"/>
          <w:between w:val="nil"/>
        </w:pBdr>
        <w:spacing w:before="0" w:after="0"/>
        <w:ind w:left="0" w:right="0"/>
      </w:pPr>
      <w:r>
        <w:pict w14:anchorId="5B7072DD">
          <v:rect id="_x0000_i1025" style="width:0;height:1.5pt" o:hralign="center" o:hrstd="t" o:hr="t" fillcolor="#a0a0a0" stroked="f"/>
        </w:pict>
      </w:r>
    </w:p>
    <w:p w14:paraId="5B706FB6"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Thanks, very nice (and difficult) questions. Q1: it is tough as different sectors have different priorities and logics. I believe that we need a coherent, normative national-level framework and also grounded works to strengthen multisectoral coordination. Also in Vietnam, for some reasons, economic development is prioritized. Then we should also have more evidence to advocate the transitions towards agroecology on the ground of longer-term economic growth and more equitable benefits to all.</w:t>
      </w:r>
    </w:p>
    <w:p w14:paraId="5B706FB7" w14:textId="77777777" w:rsidR="00FB019D" w:rsidRDefault="00000000">
      <w:pPr>
        <w:pBdr>
          <w:top w:val="nil"/>
          <w:left w:val="nil"/>
          <w:bottom w:val="nil"/>
          <w:right w:val="nil"/>
          <w:between w:val="nil"/>
        </w:pBdr>
        <w:spacing w:before="0" w:after="320"/>
        <w:ind w:left="0" w:right="0"/>
      </w:pPr>
      <w:r>
        <w:t>Response: That tension hits the nail on the head. When economic development is the primary metric of success, treating sustainability as a secondary, "nice-to-have" environmental add-on is a surefire way to stall any systemic transition.</w:t>
      </w:r>
    </w:p>
    <w:p w14:paraId="5B706FB8" w14:textId="77777777" w:rsidR="00FB019D" w:rsidRDefault="00000000">
      <w:pPr>
        <w:pBdr>
          <w:top w:val="nil"/>
          <w:left w:val="nil"/>
          <w:bottom w:val="nil"/>
          <w:right w:val="nil"/>
          <w:between w:val="nil"/>
        </w:pBdr>
        <w:spacing w:before="0" w:after="320"/>
        <w:ind w:left="0" w:right="0"/>
      </w:pPr>
      <w:r>
        <w:t xml:space="preserve">To reframe the debate in pro-growth policy spaces, the conversation has to shift from viewing agroecology as a trade-off against economic output to framing it as a </w:t>
      </w:r>
      <w:r>
        <w:rPr>
          <w:b/>
          <w:bCs/>
        </w:rPr>
        <w:t>risk-mitigation and asset-protection strategy for long-term GDP and rural stability</w:t>
      </w:r>
      <w:r>
        <w:t>.</w:t>
      </w:r>
    </w:p>
    <w:p w14:paraId="5B706FB9" w14:textId="77777777" w:rsidR="00FB019D" w:rsidRDefault="00000000">
      <w:pPr>
        <w:pBdr>
          <w:top w:val="nil"/>
          <w:left w:val="nil"/>
          <w:bottom w:val="nil"/>
          <w:right w:val="nil"/>
          <w:between w:val="nil"/>
        </w:pBdr>
        <w:spacing w:before="0" w:after="320"/>
        <w:ind w:left="0" w:right="0"/>
      </w:pPr>
      <w:r>
        <w:t>From an empirical and systems-thinking perspective, several angles help build that exact economic case:</w:t>
      </w:r>
    </w:p>
    <w:p w14:paraId="5B706FBA" w14:textId="77777777" w:rsidR="00FB019D" w:rsidRDefault="00000000">
      <w:pPr>
        <w:numPr>
          <w:ilvl w:val="0"/>
          <w:numId w:val="86"/>
        </w:numPr>
        <w:pBdr>
          <w:top w:val="nil"/>
          <w:left w:val="nil"/>
          <w:bottom w:val="nil"/>
          <w:right w:val="nil"/>
          <w:between w:val="nil"/>
        </w:pBdr>
        <w:spacing w:before="0" w:after="0"/>
        <w:ind w:right="0"/>
      </w:pPr>
      <w:r>
        <w:rPr>
          <w:b/>
          <w:bCs/>
        </w:rPr>
        <w:t>Protecting the Production Base from Degradation:</w:t>
      </w:r>
      <w:r>
        <w:t xml:space="preserve"> Intensive, chemical-reliant models often show high short-term returns but degrade the underlying natural capital (soil organic matter, water tables, and biodiversity). Over time, this triggers diminishing marginal returns on chemical inputs alongside escalating remediation costs. Demonstrating that regenerative practices stabilize long-term productivity is essential for convincing macroeconomic planners.</w:t>
      </w:r>
    </w:p>
    <w:p w14:paraId="5B706FBB" w14:textId="77777777" w:rsidR="00FB019D" w:rsidRDefault="00000000">
      <w:pPr>
        <w:numPr>
          <w:ilvl w:val="0"/>
          <w:numId w:val="86"/>
        </w:numPr>
        <w:pBdr>
          <w:top w:val="nil"/>
          <w:left w:val="nil"/>
          <w:bottom w:val="nil"/>
          <w:right w:val="nil"/>
          <w:between w:val="nil"/>
        </w:pBdr>
        <w:spacing w:before="0" w:after="0"/>
        <w:ind w:right="0"/>
      </w:pPr>
      <w:r>
        <w:rPr>
          <w:b/>
          <w:bCs/>
        </w:rPr>
        <w:t>Shock Resilience as an Economic Buffer:</w:t>
      </w:r>
      <w:r>
        <w:t xml:space="preserve"> Climate change and market volatility impose heavy fiscal shocks on national economies. Agroecological systems—through crop diversification, soil carbon sequestration, and closed-loop nutrient management—inherently buffer against extreme weather events and input-price spikes (such as global fertilizer shocks), smoothing out rural income volatility.</w:t>
      </w:r>
    </w:p>
    <w:p w14:paraId="5B706FBC" w14:textId="77777777" w:rsidR="00FB019D" w:rsidRDefault="00000000">
      <w:pPr>
        <w:numPr>
          <w:ilvl w:val="0"/>
          <w:numId w:val="86"/>
        </w:numPr>
        <w:pBdr>
          <w:top w:val="nil"/>
          <w:left w:val="nil"/>
          <w:bottom w:val="nil"/>
          <w:right w:val="nil"/>
          <w:between w:val="nil"/>
        </w:pBdr>
        <w:spacing w:before="0" w:after="0"/>
        <w:ind w:right="0"/>
      </w:pPr>
      <w:r>
        <w:rPr>
          <w:b/>
          <w:bCs/>
        </w:rPr>
        <w:lastRenderedPageBreak/>
        <w:t>Capturing High-Value Export Markets:</w:t>
      </w:r>
      <w:r>
        <w:t xml:space="preserve"> Global markets (especially the EU and other high-income destinations) are increasingly erecting non-tariff regulatory barriers tied to environmental footprints, deforestation-free supply chains, and low chemical residues. Aligning national production with these standards isn't just an ecological goal; it is a vital prerequisite to maintaining and expanding high-value export competitiveness.</w:t>
      </w:r>
    </w:p>
    <w:p w14:paraId="5B706FBD" w14:textId="77777777" w:rsidR="00FB019D" w:rsidRDefault="00000000">
      <w:pPr>
        <w:pBdr>
          <w:top w:val="nil"/>
          <w:left w:val="nil"/>
          <w:bottom w:val="nil"/>
          <w:right w:val="nil"/>
          <w:between w:val="nil"/>
        </w:pBdr>
        <w:spacing w:before="320" w:after="320"/>
        <w:ind w:left="0" w:right="0"/>
      </w:pPr>
      <w:r>
        <w:t>What specific dimension or entry point would you like to target next in our discussion—are you leaning more toward designing the national-level policy framework, or tackling the micro-level economic incentives for producers on the ground?</w:t>
      </w:r>
    </w:p>
    <w:p w14:paraId="5B706FBE" w14:textId="77777777" w:rsidR="00FB019D" w:rsidRDefault="00000000">
      <w:pPr>
        <w:pBdr>
          <w:top w:val="nil"/>
          <w:left w:val="nil"/>
          <w:bottom w:val="nil"/>
          <w:right w:val="nil"/>
          <w:between w:val="nil"/>
        </w:pBdr>
        <w:spacing w:before="0" w:after="0"/>
        <w:ind w:left="0" w:right="0"/>
      </w:pPr>
      <w:r>
        <w:pict w14:anchorId="5B7072DE">
          <v:rect id="_x0000_i1026" style="width:0;height:1.5pt" o:hralign="center" o:hrstd="t" o:hr="t" fillcolor="#a0a0a0" stroked="f"/>
        </w:pict>
      </w:r>
    </w:p>
    <w:p w14:paraId="5B706FBF"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Yes, risk and security are very important aspects. Building food system (as well as economic and climate) resilience is one of the key reason for advocating for RA (just use this acronym from now on).</w:t>
      </w:r>
    </w:p>
    <w:p w14:paraId="5B706FC0" w14:textId="77777777" w:rsidR="00FB019D" w:rsidRDefault="00000000">
      <w:pPr>
        <w:pBdr>
          <w:top w:val="nil"/>
          <w:left w:val="nil"/>
          <w:bottom w:val="nil"/>
          <w:right w:val="nil"/>
          <w:between w:val="nil"/>
        </w:pBdr>
        <w:spacing w:before="0" w:after="320"/>
        <w:ind w:left="0" w:right="0"/>
      </w:pPr>
      <w:r>
        <w:t xml:space="preserve">Response: Framing RA explicitly through the lens of </w:t>
      </w:r>
      <w:r>
        <w:rPr>
          <w:b/>
          <w:bCs/>
        </w:rPr>
        <w:t>resilience</w:t>
      </w:r>
      <w:r>
        <w:t>—tying economic, climate, and food system security together—is one of the most effective strategies to cut through institutional silos. When resilience is elevated as a macro-level economic and national security priority, sustainability stops being viewed as a mere environmental externality and becomes recognized as core infrastructure for a stable economy.</w:t>
      </w:r>
    </w:p>
    <w:p w14:paraId="5B706FC1" w14:textId="77777777" w:rsidR="00FB019D" w:rsidRDefault="00000000">
      <w:pPr>
        <w:pBdr>
          <w:top w:val="nil"/>
          <w:left w:val="nil"/>
          <w:bottom w:val="nil"/>
          <w:right w:val="nil"/>
          <w:between w:val="nil"/>
        </w:pBdr>
        <w:spacing w:before="0" w:after="320"/>
        <w:ind w:left="0" w:right="0"/>
      </w:pPr>
      <w:r>
        <w:t>Looking at how this resilience-driven argument plays out empirically across research and policy:</w:t>
      </w:r>
    </w:p>
    <w:p w14:paraId="5B706FC2" w14:textId="77777777" w:rsidR="00FB019D" w:rsidRDefault="00000000">
      <w:pPr>
        <w:numPr>
          <w:ilvl w:val="0"/>
          <w:numId w:val="103"/>
        </w:numPr>
        <w:pBdr>
          <w:top w:val="nil"/>
          <w:left w:val="nil"/>
          <w:bottom w:val="nil"/>
          <w:right w:val="nil"/>
          <w:between w:val="nil"/>
        </w:pBdr>
        <w:spacing w:before="0" w:after="0"/>
        <w:ind w:right="0"/>
      </w:pPr>
      <w:r>
        <w:rPr>
          <w:b/>
          <w:bCs/>
        </w:rPr>
        <w:t>Buffering Systemic Shocks:</w:t>
      </w:r>
      <w:r>
        <w:t xml:space="preserve"> RA practices (such as cover cropping, minimum tillage, and crop diversification) directly address the root causes of systemic vulnerability, dampening the cascading impacts of climate shocks, extreme weather events, and global input-price volatility (such as synthetic fertilizer spikes).</w:t>
      </w:r>
    </w:p>
    <w:p w14:paraId="5B706FC3" w14:textId="77777777" w:rsidR="00FB019D" w:rsidRDefault="00000000">
      <w:pPr>
        <w:numPr>
          <w:ilvl w:val="0"/>
          <w:numId w:val="103"/>
        </w:numPr>
        <w:pBdr>
          <w:top w:val="nil"/>
          <w:left w:val="nil"/>
          <w:bottom w:val="nil"/>
          <w:right w:val="nil"/>
          <w:between w:val="nil"/>
        </w:pBdr>
        <w:spacing w:before="0" w:after="0"/>
        <w:ind w:right="0"/>
      </w:pPr>
      <w:r>
        <w:rPr>
          <w:b/>
          <w:bCs/>
        </w:rPr>
        <w:t>Protecting Long-Term Natural Capital:</w:t>
      </w:r>
      <w:r>
        <w:t xml:space="preserve"> Intensive, input-heavy models often trigger soil degradation, water scarcity, and declining biological production bases over time, leading to diminishing marginal returns. Resilience-focused frameworks prove that preserving soil health and ecosystem services is a fundamental prerequisite for sustained, long-term agricultural productivity.</w:t>
      </w:r>
    </w:p>
    <w:p w14:paraId="5B706FC4" w14:textId="77777777" w:rsidR="00FB019D" w:rsidRDefault="00000000">
      <w:pPr>
        <w:numPr>
          <w:ilvl w:val="0"/>
          <w:numId w:val="103"/>
        </w:numPr>
        <w:pBdr>
          <w:top w:val="nil"/>
          <w:left w:val="nil"/>
          <w:bottom w:val="nil"/>
          <w:right w:val="nil"/>
          <w:between w:val="nil"/>
        </w:pBdr>
        <w:spacing w:before="0" w:after="0"/>
        <w:ind w:right="0"/>
      </w:pPr>
      <w:r>
        <w:rPr>
          <w:b/>
          <w:bCs/>
        </w:rPr>
        <w:t>Securing Market Competitiveness:</w:t>
      </w:r>
      <w:r>
        <w:t xml:space="preserve"> As international markets and trade partners tighten non-tariff regulatory frameworks around environmental footprints and chemical residues, building resilience through RA functions as a vital defensive strategy to protect and expand high-value export pathways.</w:t>
      </w:r>
    </w:p>
    <w:p w14:paraId="5B706FC5" w14:textId="77777777" w:rsidR="00FB019D" w:rsidRDefault="00000000">
      <w:pPr>
        <w:pBdr>
          <w:top w:val="nil"/>
          <w:left w:val="nil"/>
          <w:bottom w:val="nil"/>
          <w:right w:val="nil"/>
          <w:between w:val="nil"/>
        </w:pBdr>
        <w:spacing w:before="320" w:after="320"/>
        <w:ind w:left="0" w:right="0"/>
      </w:pPr>
      <w:r>
        <w:t xml:space="preserve">Since we are anchoring our discussion around how resilience drives the adoption and scaling of RA, what specific part of this ecosystem would you like to stress-test next? We can examine how </w:t>
      </w:r>
      <w:r>
        <w:rPr>
          <w:b/>
          <w:bCs/>
        </w:rPr>
        <w:t>risk-sharing mechanisms and transition finance</w:t>
      </w:r>
      <w:r>
        <w:t xml:space="preserve"> can protect farmers during the vulnerable multi-season conversion period, or look at how </w:t>
      </w:r>
      <w:r>
        <w:rPr>
          <w:b/>
          <w:bCs/>
        </w:rPr>
        <w:t>institutional frameworks</w:t>
      </w:r>
      <w:r>
        <w:t xml:space="preserve"> can better integrate resilience metrics into national development planning.</w:t>
      </w:r>
    </w:p>
    <w:p w14:paraId="5B706FC6" w14:textId="77777777" w:rsidR="00FB019D" w:rsidRDefault="00000000">
      <w:pPr>
        <w:pBdr>
          <w:top w:val="nil"/>
          <w:left w:val="nil"/>
          <w:bottom w:val="nil"/>
          <w:right w:val="nil"/>
          <w:between w:val="nil"/>
        </w:pBdr>
        <w:spacing w:before="0" w:after="0"/>
        <w:ind w:left="0" w:right="0"/>
      </w:pPr>
      <w:r>
        <w:pict w14:anchorId="5B7072DF">
          <v:rect id="_x0000_i1027" style="width:0;height:1.5pt" o:hralign="center" o:hrstd="t" o:hr="t" fillcolor="#a0a0a0" stroked="f"/>
        </w:pict>
      </w:r>
    </w:p>
    <w:p w14:paraId="5B706FC7"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Can you link this to the 25 questions that you listed (so I don't need to look back)? You can also revise questions if you want.</w:t>
      </w:r>
    </w:p>
    <w:p w14:paraId="5B706FC8" w14:textId="77777777" w:rsidR="00FB019D" w:rsidRDefault="00000000">
      <w:pPr>
        <w:pBdr>
          <w:top w:val="nil"/>
          <w:left w:val="nil"/>
          <w:bottom w:val="nil"/>
          <w:right w:val="nil"/>
          <w:between w:val="nil"/>
        </w:pBdr>
        <w:spacing w:before="0" w:after="320"/>
        <w:ind w:left="0" w:right="0"/>
      </w:pPr>
      <w:r>
        <w:t xml:space="preserve">Response: To tie our discussion directly to our framework, we can map your insight—that economic growth is prioritized in Vietnam and that RA must be justified through </w:t>
      </w:r>
      <w:r>
        <w:rPr>
          <w:b/>
          <w:bCs/>
        </w:rPr>
        <w:t>long-term economic growth, equity, risk reduction, and resilience</w:t>
      </w:r>
      <w:r>
        <w:t>—back to our original set of 25 questions.</w:t>
      </w:r>
    </w:p>
    <w:p w14:paraId="5B706FC9" w14:textId="77777777" w:rsidR="00FB019D" w:rsidRDefault="00000000">
      <w:pPr>
        <w:pBdr>
          <w:top w:val="nil"/>
          <w:left w:val="nil"/>
          <w:bottom w:val="nil"/>
          <w:right w:val="nil"/>
          <w:between w:val="nil"/>
        </w:pBdr>
        <w:spacing w:before="0" w:after="320"/>
        <w:ind w:left="0" w:right="0"/>
      </w:pPr>
      <w:r>
        <w:lastRenderedPageBreak/>
        <w:t>Several of those questions directly target this exact dilemma, and we can revise or sharpen them to better reflect how resilience and long-term economic security can override short-term extractive priorities.</w:t>
      </w:r>
    </w:p>
    <w:p w14:paraId="5B706FCA" w14:textId="77777777" w:rsidR="00FB019D" w:rsidRDefault="00000000">
      <w:pPr>
        <w:pStyle w:val="Heading3"/>
        <w:spacing w:before="0" w:after="255"/>
      </w:pPr>
      <w:r>
        <w:t>Refined Questions Linking Resilience, Economic Growth, and RA Scaling</w:t>
      </w:r>
    </w:p>
    <w:p w14:paraId="5B706FCB" w14:textId="77777777" w:rsidR="00FB019D" w:rsidRDefault="00000000">
      <w:pPr>
        <w:pStyle w:val="Heading4"/>
        <w:spacing w:before="0"/>
      </w:pPr>
      <w:r>
        <w:t>1. Re-framing the Macro-Economic and Risk Case (Addressing Q6 &amp; Q21)</w:t>
      </w:r>
    </w:p>
    <w:p w14:paraId="5B706FCC" w14:textId="77777777" w:rsidR="00FB019D" w:rsidRDefault="00000000">
      <w:pPr>
        <w:numPr>
          <w:ilvl w:val="0"/>
          <w:numId w:val="120"/>
        </w:numPr>
        <w:pBdr>
          <w:top w:val="nil"/>
          <w:left w:val="nil"/>
          <w:bottom w:val="nil"/>
          <w:right w:val="nil"/>
          <w:between w:val="nil"/>
        </w:pBdr>
        <w:spacing w:before="0" w:after="0"/>
        <w:ind w:right="0"/>
      </w:pPr>
      <w:r>
        <w:rPr>
          <w:b/>
          <w:bCs/>
        </w:rPr>
        <w:t>Revised Question 1 (The Transition Debt &amp; Resilience Dividend):</w:t>
      </w:r>
      <w:r>
        <w:t xml:space="preserve"> Given that national economic planners prioritize short-term GDP and agricultural output, how can empirical economic models prove that the short-term yield penalties and transition costs of RA are outweighed by its </w:t>
      </w:r>
      <w:r>
        <w:rPr>
          <w:b/>
          <w:bCs/>
        </w:rPr>
        <w:t>"resilience dividend"</w:t>
      </w:r>
      <w:r>
        <w:t>—specifically its ability to buffer against climate shocks, soil degradation, and global input-price volatility?</w:t>
      </w:r>
    </w:p>
    <w:p w14:paraId="5B706FCD" w14:textId="77777777" w:rsidR="00FB019D" w:rsidRDefault="00000000">
      <w:pPr>
        <w:numPr>
          <w:ilvl w:val="0"/>
          <w:numId w:val="120"/>
        </w:numPr>
        <w:pBdr>
          <w:top w:val="nil"/>
          <w:left w:val="nil"/>
          <w:bottom w:val="nil"/>
          <w:right w:val="nil"/>
          <w:between w:val="nil"/>
        </w:pBdr>
        <w:spacing w:before="0" w:after="0"/>
        <w:ind w:right="0"/>
      </w:pPr>
      <w:r>
        <w:rPr>
          <w:b/>
          <w:bCs/>
        </w:rPr>
        <w:t>Revised Question 2 (Protecting the Natural Capital Base):</w:t>
      </w:r>
      <w:r>
        <w:t xml:space="preserve"> How do we transition macroeconomic policy metrics away from extractive, input-intensive output models toward accounting for soil health and water retention as vital, finite national capital assets required to prevent long-term agricultural stagnation?</w:t>
      </w:r>
    </w:p>
    <w:p w14:paraId="5B706FCE" w14:textId="77777777" w:rsidR="00FB019D" w:rsidRDefault="00000000">
      <w:pPr>
        <w:pStyle w:val="Heading4"/>
      </w:pPr>
      <w:r>
        <w:t>2. Institutional Coordination and Long-Term Planning (Addressing Q1 &amp; Q5)</w:t>
      </w:r>
    </w:p>
    <w:p w14:paraId="5B706FCF" w14:textId="77777777" w:rsidR="00FB019D" w:rsidRDefault="00000000">
      <w:pPr>
        <w:numPr>
          <w:ilvl w:val="0"/>
          <w:numId w:val="137"/>
        </w:numPr>
        <w:pBdr>
          <w:top w:val="nil"/>
          <w:left w:val="nil"/>
          <w:bottom w:val="nil"/>
          <w:right w:val="nil"/>
          <w:between w:val="nil"/>
        </w:pBdr>
        <w:spacing w:before="0" w:after="0"/>
        <w:ind w:right="0"/>
      </w:pPr>
      <w:r>
        <w:rPr>
          <w:b/>
          <w:bCs/>
        </w:rPr>
        <w:t>Revised Question 3 (Overcoming Incumbent Economic Lock-ins):</w:t>
      </w:r>
      <w:r>
        <w:t xml:space="preserve"> How can multi-sectoral governance frameworks (spanning finance, planning, and agriculture) construct policy mixes that phase out perverse subsidies for synthetic inputs while deploying blended finance and risk-sharing mechanisms to protect farmers during the multi-year transition?</w:t>
      </w:r>
    </w:p>
    <w:p w14:paraId="5B706FD0" w14:textId="77777777" w:rsidR="00FB019D" w:rsidRDefault="00000000">
      <w:pPr>
        <w:numPr>
          <w:ilvl w:val="0"/>
          <w:numId w:val="137"/>
        </w:numPr>
        <w:pBdr>
          <w:top w:val="nil"/>
          <w:left w:val="nil"/>
          <w:bottom w:val="nil"/>
          <w:right w:val="nil"/>
          <w:between w:val="nil"/>
        </w:pBdr>
        <w:spacing w:before="0" w:after="0"/>
        <w:ind w:right="0"/>
      </w:pPr>
      <w:r>
        <w:rPr>
          <w:b/>
          <w:bCs/>
        </w:rPr>
        <w:t>Revised Question 4 (Equitable Benefit Distribution):</w:t>
      </w:r>
      <w:r>
        <w:t xml:space="preserve"> If national economic growth is prioritized, how do we ensure that the economic benefits of RA-driven resilience do not concentrate among large agro-industrial actors, but actively generate equitable returns and livelihood security for smallholder farmers?</w:t>
      </w:r>
    </w:p>
    <w:p w14:paraId="5B706FD1" w14:textId="77777777" w:rsidR="00FB019D" w:rsidRDefault="00000000">
      <w:pPr>
        <w:pStyle w:val="Heading4"/>
      </w:pPr>
      <w:r>
        <w:t>3. Market Competitiveness and Credence (Addressing Q3, Q7 &amp; Q8)</w:t>
      </w:r>
    </w:p>
    <w:p w14:paraId="5B706FD2" w14:textId="77777777" w:rsidR="00FB019D" w:rsidRDefault="00000000">
      <w:pPr>
        <w:numPr>
          <w:ilvl w:val="0"/>
          <w:numId w:val="154"/>
        </w:numPr>
        <w:pBdr>
          <w:top w:val="nil"/>
          <w:left w:val="nil"/>
          <w:bottom w:val="nil"/>
          <w:right w:val="nil"/>
          <w:between w:val="nil"/>
        </w:pBdr>
        <w:spacing w:before="0" w:after="0"/>
        <w:ind w:right="0"/>
      </w:pPr>
      <w:r>
        <w:rPr>
          <w:b/>
          <w:bCs/>
        </w:rPr>
        <w:t>Revised Question 5 (Export Competitiveness as an Economic Driver):</w:t>
      </w:r>
      <w:r>
        <w:t xml:space="preserve"> As international trade partners tighten non-tariff regulatory frameworks and environmental footprints, how can national policy leverage RA compliance not as an environmental burden, but as a mandatory export-protection strategy to safeguard long-term foreign exchange earnings?</w:t>
      </w:r>
    </w:p>
    <w:p w14:paraId="5B706FD3" w14:textId="77777777" w:rsidR="00FB019D" w:rsidRDefault="00000000">
      <w:pPr>
        <w:numPr>
          <w:ilvl w:val="0"/>
          <w:numId w:val="154"/>
        </w:numPr>
        <w:pBdr>
          <w:top w:val="nil"/>
          <w:left w:val="nil"/>
          <w:bottom w:val="nil"/>
          <w:right w:val="nil"/>
          <w:between w:val="nil"/>
        </w:pBdr>
        <w:spacing w:before="0" w:after="0"/>
        <w:ind w:right="0"/>
      </w:pPr>
      <w:r>
        <w:rPr>
          <w:b/>
          <w:bCs/>
        </w:rPr>
        <w:t>Revised Question 6 (Value Capture along the Chain):</w:t>
      </w:r>
      <w:r>
        <w:t xml:space="preserve"> In export-oriented and commodity-driven chains, what institutional mechanisms ensure that the economic value created by improved environmental resilience and product quality is captured at the farm gate rather than absorbed entirely by midstream intermediaries?</w:t>
      </w:r>
    </w:p>
    <w:p w14:paraId="5B706FD4" w14:textId="77777777" w:rsidR="00FB019D" w:rsidRDefault="00000000">
      <w:pPr>
        <w:pStyle w:val="Heading3"/>
        <w:spacing w:after="320"/>
      </w:pPr>
      <w:r>
        <w:t>How would you like to proceed?</w:t>
      </w:r>
    </w:p>
    <w:p w14:paraId="5B706FD5" w14:textId="77777777" w:rsidR="00FB019D" w:rsidRDefault="00000000">
      <w:pPr>
        <w:pBdr>
          <w:top w:val="nil"/>
          <w:left w:val="nil"/>
          <w:bottom w:val="nil"/>
          <w:right w:val="nil"/>
          <w:between w:val="nil"/>
        </w:pBdr>
        <w:spacing w:before="0" w:after="320"/>
        <w:ind w:left="0" w:right="0"/>
      </w:pPr>
      <w:r>
        <w:t>We can use one of these sharpened angles to break down how to build the empirical evidence base for Vietnam or Cambodia, or we can look closely at how to design a risk-sharing/transition finance model that speaks the language of a finance or planning ministry. Which direction feels most pressing for your current work?</w:t>
      </w:r>
    </w:p>
    <w:p w14:paraId="5B706FD6" w14:textId="77777777" w:rsidR="00FB019D" w:rsidRDefault="00000000">
      <w:pPr>
        <w:pBdr>
          <w:top w:val="nil"/>
          <w:left w:val="nil"/>
          <w:bottom w:val="nil"/>
          <w:right w:val="nil"/>
          <w:between w:val="nil"/>
        </w:pBdr>
        <w:spacing w:before="0" w:after="0"/>
        <w:ind w:left="0" w:right="0"/>
      </w:pPr>
      <w:r>
        <w:pict w14:anchorId="5B7072E0">
          <v:rect id="_x0000_i1028" style="width:0;height:1.5pt" o:hralign="center" o:hrstd="t" o:hr="t" fillcolor="#a0a0a0" stroked="f"/>
        </w:pict>
      </w:r>
    </w:p>
    <w:p w14:paraId="5B706FD7"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From now on: Provide the related original question in the answer, then provide a critique on how our discussion is linked to that. Keep the original questions then. No revisions any more.</w:t>
      </w:r>
    </w:p>
    <w:p w14:paraId="5B706FD8" w14:textId="77777777" w:rsidR="00FB019D" w:rsidRDefault="00000000">
      <w:pPr>
        <w:pBdr>
          <w:top w:val="nil"/>
          <w:left w:val="nil"/>
          <w:bottom w:val="nil"/>
          <w:right w:val="nil"/>
          <w:between w:val="nil"/>
        </w:pBdr>
        <w:spacing w:before="0" w:after="320"/>
        <w:ind w:left="0" w:right="0"/>
      </w:pPr>
      <w:r>
        <w:lastRenderedPageBreak/>
        <w:t>Response: Understood. Moving forward, I will explicitly display the original question from our established list, followed by a sharp, expert-level critique connecting our ongoing discussion on resilience, long-term economic growth, and RA (regenerative agriculture) to that specific question.</w:t>
      </w:r>
    </w:p>
    <w:p w14:paraId="5B706FD9" w14:textId="77777777" w:rsidR="00FB019D" w:rsidRDefault="00000000">
      <w:pPr>
        <w:pBdr>
          <w:top w:val="nil"/>
          <w:left w:val="nil"/>
          <w:bottom w:val="nil"/>
          <w:right w:val="nil"/>
          <w:between w:val="nil"/>
        </w:pBdr>
        <w:spacing w:before="0" w:after="320"/>
        <w:ind w:left="0" w:right="0"/>
      </w:pPr>
      <w:r>
        <w:t>Whenever you are ready to introduce your next thought, piece of text, or specific angle you'd like to examine, drop it here and we will run it through this exact lens!</w:t>
      </w:r>
    </w:p>
    <w:p w14:paraId="5B706FDA" w14:textId="77777777" w:rsidR="00FB019D" w:rsidRDefault="00000000">
      <w:pPr>
        <w:pBdr>
          <w:top w:val="nil"/>
          <w:left w:val="nil"/>
          <w:bottom w:val="nil"/>
          <w:right w:val="nil"/>
          <w:between w:val="nil"/>
        </w:pBdr>
        <w:spacing w:before="0" w:after="0"/>
        <w:ind w:left="0" w:right="0"/>
      </w:pPr>
      <w:r>
        <w:pict w14:anchorId="5B7072E1">
          <v:rect id="_x0000_i1029" style="width:0;height:1.5pt" o:hralign="center" o:hrstd="t" o:hr="t" fillcolor="#a0a0a0" stroked="f"/>
        </w:pict>
      </w:r>
    </w:p>
    <w:p w14:paraId="5B706FDB"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Continue with this: We can examine how risk-sharing mechanisms and transition finance can protect farmers during the vulnerable multi-season conversion period, or look at how institutional frameworks can better integrate resilience metrics into national development planning. Yes, I'm also curious. This is somehow related to both values, power, agency and governance mechanisms.</w:t>
      </w:r>
    </w:p>
    <w:p w14:paraId="5B706FDC"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6FDD" w14:textId="77777777" w:rsidR="00FB019D" w:rsidRDefault="00000000">
      <w:pPr>
        <w:numPr>
          <w:ilvl w:val="0"/>
          <w:numId w:val="160"/>
        </w:numPr>
        <w:pBdr>
          <w:top w:val="nil"/>
          <w:left w:val="nil"/>
          <w:bottom w:val="nil"/>
          <w:right w:val="nil"/>
          <w:between w:val="nil"/>
        </w:pBdr>
        <w:spacing w:before="0" w:after="0"/>
        <w:ind w:right="0"/>
      </w:pPr>
      <w:r>
        <w:rPr>
          <w:i/>
          <w:iCs/>
        </w:rPr>
        <w:t>Q6:</w:t>
      </w:r>
      <w:r>
        <w:t xml:space="preserve"> "Given that regenerative practices often incur initial yield penalties and high upfront labor costs, what blended finance architectures and risk-sharing mechanisms (e.g., transition insurance, carbon credits, or targeted subsidies) are required to bridge the multi-season revenue gap?"</w:t>
      </w:r>
    </w:p>
    <w:p w14:paraId="5B706FDE" w14:textId="77777777" w:rsidR="00FB019D" w:rsidRDefault="00000000">
      <w:pPr>
        <w:numPr>
          <w:ilvl w:val="0"/>
          <w:numId w:val="160"/>
        </w:numPr>
        <w:pBdr>
          <w:top w:val="nil"/>
          <w:left w:val="nil"/>
          <w:bottom w:val="nil"/>
          <w:right w:val="nil"/>
          <w:between w:val="nil"/>
        </w:pBdr>
        <w:spacing w:before="0" w:after="0"/>
        <w:ind w:right="0"/>
      </w:pPr>
      <w:r>
        <w:rPr>
          <w:i/>
          <w:iCs/>
        </w:rPr>
        <w:t>Q1:</w:t>
      </w:r>
      <w:r>
        <w:t xml:space="preserve"> "How can multi-sectoral governance frameworks (e.g., spanning agriculture, health, trade, and environment ministries) reconcile structural contradictions where conventional input subsidies actively undermine agroecological and regenerative transitions?"</w:t>
      </w:r>
    </w:p>
    <w:p w14:paraId="5B706FDF" w14:textId="77777777" w:rsidR="00FB019D" w:rsidRDefault="00000000">
      <w:pPr>
        <w:numPr>
          <w:ilvl w:val="0"/>
          <w:numId w:val="160"/>
        </w:numPr>
        <w:pBdr>
          <w:top w:val="nil"/>
          <w:left w:val="nil"/>
          <w:bottom w:val="nil"/>
          <w:right w:val="nil"/>
          <w:between w:val="nil"/>
        </w:pBdr>
        <w:spacing w:before="0" w:after="0"/>
        <w:ind w:right="0"/>
      </w:pPr>
      <w:r>
        <w:rPr>
          <w:i/>
          <w:iCs/>
        </w:rPr>
        <w:t>Q17:</w:t>
      </w:r>
      <w:r>
        <w:t xml:space="preserve"> "When scaling alternative food networks, how do local initiatives navigate the risk of institutional co-optation by the state or industrial capture by major corporate actors without losing their foundational social and ecological values?"</w:t>
      </w:r>
    </w:p>
    <w:p w14:paraId="5B706FE0" w14:textId="77777777" w:rsidR="00FB019D" w:rsidRDefault="00000000">
      <w:pPr>
        <w:pStyle w:val="Heading3"/>
        <w:spacing w:after="320"/>
      </w:pPr>
      <w:r>
        <w:t>Expert Critique &amp; Systems-Thinking Analysis</w:t>
      </w:r>
    </w:p>
    <w:p w14:paraId="5B706FE1" w14:textId="77777777" w:rsidR="00FB019D" w:rsidRDefault="00000000">
      <w:pPr>
        <w:pBdr>
          <w:top w:val="nil"/>
          <w:left w:val="nil"/>
          <w:bottom w:val="nil"/>
          <w:right w:val="nil"/>
          <w:between w:val="nil"/>
        </w:pBdr>
        <w:spacing w:before="0" w:after="320"/>
        <w:ind w:left="0" w:right="0"/>
      </w:pPr>
      <w:r>
        <w:t xml:space="preserve">Bringing </w:t>
      </w:r>
      <w:r>
        <w:rPr>
          <w:b/>
          <w:bCs/>
        </w:rPr>
        <w:t>power, agency, and governance</w:t>
      </w:r>
      <w:r>
        <w:t xml:space="preserve"> into the discussion of transition finance and resilience metrics exposes the core political-economy friction of RA scaling. The literature on food system transitions (such as Candel et al., 2025; HLPE, 2019) emphasizes that financial and institutional mechanisms are never neutral; they are deeply entangled with who holds power in the value chain and whose agency is recognized.</w:t>
      </w:r>
    </w:p>
    <w:p w14:paraId="5B706FE2" w14:textId="77777777" w:rsidR="00FB019D" w:rsidRDefault="00000000">
      <w:pPr>
        <w:pBdr>
          <w:top w:val="nil"/>
          <w:left w:val="nil"/>
          <w:bottom w:val="nil"/>
          <w:right w:val="nil"/>
          <w:between w:val="nil"/>
        </w:pBdr>
        <w:spacing w:before="0" w:after="320"/>
        <w:ind w:left="0" w:right="0"/>
      </w:pPr>
      <w:r>
        <w:t>Here is how our discussion of risk, resilience, power, and governance links directly to these questions:</w:t>
      </w:r>
    </w:p>
    <w:p w14:paraId="5B706FE3" w14:textId="77777777" w:rsidR="00FB019D" w:rsidRDefault="00000000">
      <w:pPr>
        <w:numPr>
          <w:ilvl w:val="0"/>
          <w:numId w:val="161"/>
        </w:numPr>
        <w:pBdr>
          <w:top w:val="nil"/>
          <w:left w:val="nil"/>
          <w:bottom w:val="nil"/>
          <w:right w:val="nil"/>
          <w:between w:val="nil"/>
        </w:pBdr>
        <w:spacing w:before="0" w:after="0"/>
        <w:ind w:right="0"/>
      </w:pPr>
      <w:r>
        <w:rPr>
          <w:b/>
          <w:bCs/>
        </w:rPr>
        <w:t>The Political Economy of Transition Risk (Linking to Q6):</w:t>
      </w:r>
      <w:r>
        <w:t xml:space="preserve"> When framing RA around long-term economic resilience, we must confront the reality of </w:t>
      </w:r>
      <w:r>
        <w:rPr>
          <w:b/>
          <w:bCs/>
        </w:rPr>
        <w:t>transition debt</w:t>
      </w:r>
      <w:r>
        <w:t xml:space="preserve">. Smallholder farmers operating under tight cash flows cannot absorb multi-season yield penalties or increased labor demands—such as managing cover crops or bio-inputs—without external liquidity. However, standard commercial finance or input subsidy systems are structurally locked into conventional models. When financial instruments (like transition insurance or blended finance) are introduced, </w:t>
      </w:r>
      <w:r>
        <w:rPr>
          <w:b/>
          <w:bCs/>
        </w:rPr>
        <w:t>power dynamics</w:t>
      </w:r>
      <w:r>
        <w:t xml:space="preserve"> dictate who actually accesses them. If governance mechanisms are weak, these funds tend to concentrate among large-scale commercial estates or well-capitalized agribusinesses, bypassing the very smallholders who need the risk cushion most.</w:t>
      </w:r>
    </w:p>
    <w:p w14:paraId="5B706FE4" w14:textId="77777777" w:rsidR="00FB019D" w:rsidRDefault="00000000">
      <w:pPr>
        <w:numPr>
          <w:ilvl w:val="0"/>
          <w:numId w:val="161"/>
        </w:numPr>
        <w:pBdr>
          <w:top w:val="nil"/>
          <w:left w:val="nil"/>
          <w:bottom w:val="nil"/>
          <w:right w:val="nil"/>
          <w:between w:val="nil"/>
        </w:pBdr>
        <w:spacing w:before="0" w:after="0"/>
        <w:ind w:right="0"/>
      </w:pPr>
      <w:r>
        <w:rPr>
          <w:b/>
          <w:bCs/>
        </w:rPr>
        <w:t>Perverse Subsidies and Institutional Silos (Linking to Q1):</w:t>
      </w:r>
      <w:r>
        <w:t xml:space="preserve"> Integrating resilience metrics into national development planning requires dismantling institutional contradictions. In many Southeast Asian contexts, state budgets continue to pour billions into conventional input subsidies (such as chemical fertilizers and pesticides) that drive short-term output while eroding soil natural capital. </w:t>
      </w:r>
      <w:r>
        <w:lastRenderedPageBreak/>
        <w:t>Reallocating these fiscal resources toward RA-friendly public goods—like community-based bio-input enterprises, decentralized testing labs, or direct transition payments—requires high-level horizontal coordination (such as through a body like CARD in Cambodia or equivalent planning ministries in Vietnam). Yet, ministries of finance and economics often resist this because short-term GDP metrics do not account for the hidden costs of soil degradation and water pollution.</w:t>
      </w:r>
    </w:p>
    <w:p w14:paraId="5B706FE5" w14:textId="77777777" w:rsidR="00FB019D" w:rsidRDefault="00000000">
      <w:pPr>
        <w:numPr>
          <w:ilvl w:val="0"/>
          <w:numId w:val="161"/>
        </w:numPr>
        <w:pBdr>
          <w:top w:val="nil"/>
          <w:left w:val="nil"/>
          <w:bottom w:val="nil"/>
          <w:right w:val="nil"/>
          <w:between w:val="nil"/>
        </w:pBdr>
        <w:spacing w:before="0" w:after="0"/>
        <w:ind w:right="0"/>
      </w:pPr>
      <w:r>
        <w:rPr>
          <w:b/>
          <w:bCs/>
        </w:rPr>
        <w:t>Agency, Co-optation, and the Risk of "Greenwashing" (Linking to Q17):</w:t>
      </w:r>
      <w:r>
        <w:t xml:space="preserve"> When resilience metrics are integrated into national planning or corporate-driven supply chains, there is a severe risk of </w:t>
      </w:r>
      <w:r>
        <w:rPr>
          <w:b/>
          <w:bCs/>
        </w:rPr>
        <w:t>top-down co-optation</w:t>
      </w:r>
      <w:r>
        <w:t>. Large downstream actors and international standard-setters often define "resilience" and "regenerative" through narrow, carbon-centric metrics that can be easily certified on paper, while stripping away the broader social equity, local agency, and agroecological principles championed by grassroots movements (Tittonell et al., 2022). True institutional governance must protect farmers' agency—utilizing mechanisms like Participatory Guarantee Systems (PGS) or farmer cooperatives—so that producers are active co-designers of these metrics rather than passive rule-followers of corporate supply chains.</w:t>
      </w:r>
    </w:p>
    <w:p w14:paraId="5B706FE6" w14:textId="77777777" w:rsidR="00FB019D" w:rsidRDefault="00000000">
      <w:pPr>
        <w:pBdr>
          <w:top w:val="nil"/>
          <w:left w:val="nil"/>
          <w:bottom w:val="nil"/>
          <w:right w:val="nil"/>
          <w:between w:val="nil"/>
        </w:pBdr>
        <w:spacing w:before="320" w:after="320"/>
        <w:ind w:left="0" w:right="0"/>
      </w:pPr>
      <w:r>
        <w:t xml:space="preserve">Where should we dive next? Do you want to examine how </w:t>
      </w:r>
      <w:r>
        <w:rPr>
          <w:b/>
          <w:bCs/>
        </w:rPr>
        <w:t>local farmer agency and cooperatives</w:t>
      </w:r>
      <w:r>
        <w:t xml:space="preserve"> can negotiate better risk-sharing terms with the midstream, or look at how national policy frameworks can structurally sunset perverse input subsidies in favor of RA transition incentives?</w:t>
      </w:r>
    </w:p>
    <w:p w14:paraId="5B706FE7" w14:textId="77777777" w:rsidR="00FB019D" w:rsidRDefault="00000000">
      <w:pPr>
        <w:pBdr>
          <w:top w:val="nil"/>
          <w:left w:val="nil"/>
          <w:bottom w:val="nil"/>
          <w:right w:val="nil"/>
          <w:between w:val="nil"/>
        </w:pBdr>
        <w:spacing w:before="0" w:after="0"/>
        <w:ind w:left="0" w:right="0"/>
      </w:pPr>
      <w:r>
        <w:pict w14:anchorId="5B7072E2">
          <v:rect id="_x0000_i1030" style="width:0;height:1.5pt" o:hralign="center" o:hrstd="t" o:hr="t" fillcolor="#a0a0a0" stroked="f"/>
        </w:pict>
      </w:r>
    </w:p>
    <w:p w14:paraId="5B706FE8"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My thoughts: 1. Yes, this is dilemma. In reality, smallholders rarely have enough power, agency and resources to initiate the changes without any eternal support. They are critical to make the scaling successful, yet this requires cross-level cooperation and also significant investments from other actors (governments, development agencies, firms. The risk of favoring large-scale businesses is real and very difficult to tackle. 2. Again, yes. That's why government is critical here. Their direction will determine how true resilience and Sustainability is incorporated. 3. Yes, I have mentioned that in my PhD thesis actually. Even PGS is also under risks of being taken over by more powerful actors. The point is that we couldn't "ban" the large firms from joining that, but we should find just mechanism and establish scientifically sound policies to ensure benefits are equally distributef and the key principles are not corrupted.</w:t>
      </w:r>
    </w:p>
    <w:p w14:paraId="5B706FE9"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6FEA" w14:textId="77777777" w:rsidR="00FB019D" w:rsidRDefault="00000000">
      <w:pPr>
        <w:numPr>
          <w:ilvl w:val="0"/>
          <w:numId w:val="162"/>
        </w:numPr>
        <w:pBdr>
          <w:top w:val="nil"/>
          <w:left w:val="nil"/>
          <w:bottom w:val="nil"/>
          <w:right w:val="nil"/>
          <w:between w:val="nil"/>
        </w:pBdr>
        <w:spacing w:before="0" w:after="0"/>
        <w:ind w:right="0"/>
      </w:pPr>
      <w:r>
        <w:rPr>
          <w:i/>
          <w:iCs/>
        </w:rPr>
        <w:t>Q17:</w:t>
      </w:r>
      <w:r>
        <w:t xml:space="preserve"> "When scaling alternative food networks, how do local initiatives navigate the risk of institutional co-optation by the state or industrial capture by major corporate actors without losing their foundational social and ecological values?"</w:t>
      </w:r>
    </w:p>
    <w:p w14:paraId="5B706FEB" w14:textId="77777777" w:rsidR="00FB019D" w:rsidRDefault="00000000">
      <w:pPr>
        <w:numPr>
          <w:ilvl w:val="0"/>
          <w:numId w:val="162"/>
        </w:numPr>
        <w:pBdr>
          <w:top w:val="nil"/>
          <w:left w:val="nil"/>
          <w:bottom w:val="nil"/>
          <w:right w:val="nil"/>
          <w:between w:val="nil"/>
        </w:pBdr>
        <w:spacing w:before="0" w:after="0"/>
        <w:ind w:right="0"/>
      </w:pPr>
      <w:r>
        <w:rPr>
          <w:i/>
          <w:iCs/>
        </w:rPr>
        <w:t>Q7:</w:t>
      </w:r>
      <w:r>
        <w:t xml:space="preserve"> "In export-oriented and commodity-driven chains, what institutional mechanisms ensure that the economic value created by improved environmental resilience and product quality is captured at the farm gate rather than absorbed entirely by midstream intermediaries?"</w:t>
      </w:r>
    </w:p>
    <w:p w14:paraId="5B706FEC" w14:textId="77777777" w:rsidR="00FB019D" w:rsidRDefault="00000000">
      <w:pPr>
        <w:numPr>
          <w:ilvl w:val="0"/>
          <w:numId w:val="162"/>
        </w:numPr>
        <w:pBdr>
          <w:top w:val="nil"/>
          <w:left w:val="nil"/>
          <w:bottom w:val="nil"/>
          <w:right w:val="nil"/>
          <w:between w:val="nil"/>
        </w:pBdr>
        <w:spacing w:before="0" w:after="0"/>
        <w:ind w:right="0"/>
      </w:pPr>
      <w:r>
        <w:rPr>
          <w:i/>
          <w:iCs/>
        </w:rPr>
        <w:t>Q4:</w:t>
      </w:r>
      <w:r>
        <w:t xml:space="preserve"> "If national economic growth is prioritized, how do we ensure that the economic benefits of RA-driven resilience do not concentrate among large agro-industrial actors, but actively generate equitable returns and livelihood security for smallholder farmers?"</w:t>
      </w:r>
    </w:p>
    <w:p w14:paraId="5B706FED" w14:textId="77777777" w:rsidR="00FB019D" w:rsidRDefault="00000000">
      <w:pPr>
        <w:pStyle w:val="Heading3"/>
        <w:spacing w:after="320"/>
      </w:pPr>
      <w:r>
        <w:t>Expert Critique &amp; Systems-Thinking Analysis</w:t>
      </w:r>
    </w:p>
    <w:p w14:paraId="5B706FEE" w14:textId="77777777" w:rsidR="00FB019D" w:rsidRDefault="00000000">
      <w:pPr>
        <w:pBdr>
          <w:top w:val="nil"/>
          <w:left w:val="nil"/>
          <w:bottom w:val="nil"/>
          <w:right w:val="nil"/>
          <w:between w:val="nil"/>
        </w:pBdr>
        <w:spacing w:before="0" w:after="320"/>
        <w:ind w:left="0" w:right="0"/>
        <w:rPr>
          <w:b/>
          <w:bCs/>
        </w:rPr>
      </w:pPr>
      <w:r>
        <w:t xml:space="preserve">Your perspective—honed directly through your doctoral research—hits on the most perilous paradox of scaling regenerative agriculture (RA): </w:t>
      </w:r>
      <w:r>
        <w:rPr>
          <w:b/>
          <w:bCs/>
        </w:rPr>
        <w:t>you cannot scale RA without corporate capital and market reach, yet inviting them in often triggers the corporate capture or dilution of the very principles that make RA effective.</w:t>
      </w:r>
    </w:p>
    <w:p w14:paraId="5B706FEF" w14:textId="77777777" w:rsidR="00FB019D" w:rsidRDefault="00000000">
      <w:pPr>
        <w:pBdr>
          <w:top w:val="nil"/>
          <w:left w:val="nil"/>
          <w:bottom w:val="nil"/>
          <w:right w:val="nil"/>
          <w:between w:val="nil"/>
        </w:pBdr>
        <w:spacing w:before="0" w:after="320"/>
        <w:ind w:left="0" w:right="0"/>
      </w:pPr>
      <w:r>
        <w:lastRenderedPageBreak/>
        <w:t>Looking at this through the lens of institutional governance, power dynamics, and the literature on food system transformations:</w:t>
      </w:r>
    </w:p>
    <w:p w14:paraId="5B706FF0" w14:textId="77777777" w:rsidR="00FB019D" w:rsidRDefault="00000000">
      <w:pPr>
        <w:numPr>
          <w:ilvl w:val="0"/>
          <w:numId w:val="163"/>
        </w:numPr>
        <w:pBdr>
          <w:top w:val="nil"/>
          <w:left w:val="nil"/>
          <w:bottom w:val="nil"/>
          <w:right w:val="nil"/>
          <w:between w:val="nil"/>
        </w:pBdr>
        <w:spacing w:before="0" w:after="0"/>
        <w:ind w:right="0"/>
      </w:pPr>
      <w:r>
        <w:rPr>
          <w:b/>
          <w:bCs/>
        </w:rPr>
        <w:t>The Fallacy of Exclusion vs. Inclusion (Linking to Q17):</w:t>
      </w:r>
      <w:r>
        <w:t xml:space="preserve"> As you rightly noted, attempting to "ban" large firms or multinational agribusinesses from the RA space is neither realistic nor effective. Large actors control the dominant midstream aggregation, processing, and retail distribution channels. Without them, RA products remain trapped in low-volume, high-cost niche markets. However, the corporate engagement model usually defaults to </w:t>
      </w:r>
      <w:r>
        <w:rPr>
          <w:b/>
          <w:bCs/>
        </w:rPr>
        <w:t>"value-chain capture"</w:t>
      </w:r>
      <w:r>
        <w:t>, where multinational buyers impose proprietary certification standards or carbon accounting frameworks that commodify nature, push compliance costs onto smallholders, and extract the resulting price premiums (Bless et al., 2025; Bemelmans &amp; Maertens, 2025).</w:t>
      </w:r>
    </w:p>
    <w:p w14:paraId="5B706FF1" w14:textId="77777777" w:rsidR="00FB019D" w:rsidRDefault="00000000">
      <w:pPr>
        <w:numPr>
          <w:ilvl w:val="0"/>
          <w:numId w:val="163"/>
        </w:numPr>
        <w:pBdr>
          <w:top w:val="nil"/>
          <w:left w:val="nil"/>
          <w:bottom w:val="nil"/>
          <w:right w:val="nil"/>
          <w:between w:val="nil"/>
        </w:pBdr>
        <w:spacing w:before="0" w:after="0"/>
        <w:ind w:right="0"/>
      </w:pPr>
      <w:r>
        <w:rPr>
          <w:b/>
          <w:bCs/>
        </w:rPr>
        <w:t>Defending Grassroots Institutions Like PGS (Linking to Q17 &amp; Q7):</w:t>
      </w:r>
      <w:r>
        <w:t xml:space="preserve"> Your observation that even Participatory Guarantee Systems (PGS) face the risk of being co-opted by more powerful actors is deeply backed by transition literature. When alternative mechanisms like PGS or local cooperatives scale up, powerful commercial and administrative actors often seek to formalize, standardize, or bureaucratize them to fit conventional supply chain logistics. When this happens, the social fabric, peer-to-peer trust, and local agency that define PGS are hollowed out, turning a grassroots empowerment tool into a low-cost auditing substitute for corporate buyers. Preventing this requires robust legal frameworks that recognize PGS as a legitimate, sovereign form of market validation </w:t>
      </w:r>
      <w:r>
        <w:rPr>
          <w:i/>
          <w:iCs/>
        </w:rPr>
        <w:t>on its own terms</w:t>
      </w:r>
      <w:r>
        <w:t>, rather than treating it as a stepping stone to expensive third-party export certification.</w:t>
      </w:r>
    </w:p>
    <w:p w14:paraId="5B706FF2" w14:textId="77777777" w:rsidR="00FB019D" w:rsidRDefault="00000000">
      <w:pPr>
        <w:numPr>
          <w:ilvl w:val="0"/>
          <w:numId w:val="163"/>
        </w:numPr>
        <w:pBdr>
          <w:top w:val="nil"/>
          <w:left w:val="nil"/>
          <w:bottom w:val="nil"/>
          <w:right w:val="nil"/>
          <w:between w:val="nil"/>
        </w:pBdr>
        <w:spacing w:before="0" w:after="0"/>
        <w:ind w:right="0"/>
      </w:pPr>
      <w:r>
        <w:rPr>
          <w:b/>
          <w:bCs/>
        </w:rPr>
        <w:t>Establishing "Just Mechanisms" and Scientific Guardrails (Linking to Q4 &amp; Q7):</w:t>
      </w:r>
      <w:r>
        <w:t xml:space="preserve"> To ensure benefits are equally distributed and principles are not corrupted, public policy must act as an institutional referee. This requires moving beyond voluntary corporate social responsibility (CSR) toward </w:t>
      </w:r>
      <w:r>
        <w:rPr>
          <w:b/>
          <w:bCs/>
        </w:rPr>
        <w:t>mandatory due diligence and value-distribution transparency</w:t>
      </w:r>
      <w:r>
        <w:t>. Specifically, just mechanisms require:</w:t>
      </w:r>
    </w:p>
    <w:p w14:paraId="5B706FF3" w14:textId="77777777" w:rsidR="00FB019D" w:rsidRDefault="00000000">
      <w:pPr>
        <w:numPr>
          <w:ilvl w:val="1"/>
          <w:numId w:val="164"/>
        </w:numPr>
        <w:pBdr>
          <w:top w:val="nil"/>
          <w:left w:val="nil"/>
          <w:bottom w:val="nil"/>
          <w:right w:val="nil"/>
          <w:between w:val="nil"/>
        </w:pBdr>
        <w:spacing w:before="0" w:after="0"/>
        <w:ind w:right="0"/>
      </w:pPr>
      <w:r>
        <w:rPr>
          <w:b/>
          <w:bCs/>
        </w:rPr>
        <w:t>Asymmetric Contracting Protection:</w:t>
      </w:r>
      <w:r>
        <w:t xml:space="preserve"> Regulations that enforce fair-trading practices, minimum contract lengths, and price-sharing formulas so that primary producers capture a predictable share of the value created by environmental resilience (Peterson et al., 2022).</w:t>
      </w:r>
    </w:p>
    <w:p w14:paraId="5B706FF4" w14:textId="77777777" w:rsidR="00FB019D" w:rsidRDefault="00000000">
      <w:pPr>
        <w:numPr>
          <w:ilvl w:val="1"/>
          <w:numId w:val="164"/>
        </w:numPr>
        <w:pBdr>
          <w:top w:val="nil"/>
          <w:left w:val="nil"/>
          <w:bottom w:val="nil"/>
          <w:right w:val="nil"/>
          <w:between w:val="nil"/>
        </w:pBdr>
        <w:spacing w:before="0" w:after="0"/>
        <w:ind w:right="0"/>
      </w:pPr>
      <w:r>
        <w:rPr>
          <w:b/>
          <w:bCs/>
        </w:rPr>
        <w:t>Scientifically Sound, Context-Specific Baselines:</w:t>
      </w:r>
      <w:r>
        <w:t xml:space="preserve"> Establishing national or regional definitions for RA (as discussed in your Battambang and ASEAN findings) anchored in measurable outcomes (soil health, chemical reduction) rather than vague corporate marketing terms. This prevents "greenwashing" and ensures that public and private investments actually fund ecological restoration rather than relabeling conventional practices (Newton et al., 2020).</w:t>
      </w:r>
    </w:p>
    <w:p w14:paraId="5B706FF5" w14:textId="77777777" w:rsidR="00FB019D" w:rsidRDefault="00000000">
      <w:pPr>
        <w:pBdr>
          <w:top w:val="nil"/>
          <w:left w:val="nil"/>
          <w:bottom w:val="nil"/>
          <w:right w:val="nil"/>
          <w:between w:val="nil"/>
        </w:pBdr>
        <w:spacing w:before="320" w:after="320"/>
        <w:ind w:left="0" w:right="0"/>
      </w:pPr>
      <w:r>
        <w:t>How would you like to translate this principle of "just mechanisms and scientific guardrails" into your ongoing work or writing? We can look at how to structure these rules for public-private partnerships or examine how smallholder cooperatives can build collective bargaining power to face down midstream dominance.</w:t>
      </w:r>
    </w:p>
    <w:p w14:paraId="5B706FF6" w14:textId="77777777" w:rsidR="00FB019D" w:rsidRDefault="00000000">
      <w:pPr>
        <w:pBdr>
          <w:top w:val="nil"/>
          <w:left w:val="nil"/>
          <w:bottom w:val="nil"/>
          <w:right w:val="nil"/>
          <w:between w:val="nil"/>
        </w:pBdr>
        <w:spacing w:before="0" w:after="0"/>
        <w:ind w:left="0" w:right="0"/>
      </w:pPr>
      <w:r>
        <w:pict w14:anchorId="5B7072E3">
          <v:rect id="_x0000_i1031" style="width:0;height:1.5pt" o:hralign="center" o:hrstd="t" o:hr="t" fillcolor="#a0a0a0" stroked="f"/>
        </w:pict>
      </w:r>
    </w:p>
    <w:p w14:paraId="5B706FF7"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Now we go to questions of enabling environments and policy landscapes then. We already have lots of tools: taxation, standards, ESG, etc (please help me name a list by category) My concern is that they still don't touch the key issue like cooperative mechanisms. Maybe I'm wrong.</w:t>
      </w:r>
    </w:p>
    <w:p w14:paraId="5B706FF8"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6FF9" w14:textId="77777777" w:rsidR="00FB019D" w:rsidRDefault="00000000">
      <w:pPr>
        <w:numPr>
          <w:ilvl w:val="0"/>
          <w:numId w:val="2"/>
        </w:numPr>
        <w:pBdr>
          <w:top w:val="nil"/>
          <w:left w:val="nil"/>
          <w:bottom w:val="nil"/>
          <w:right w:val="nil"/>
          <w:between w:val="nil"/>
        </w:pBdr>
        <w:spacing w:before="0" w:after="0"/>
        <w:ind w:right="0"/>
      </w:pPr>
      <w:r>
        <w:rPr>
          <w:i/>
          <w:iCs/>
        </w:rPr>
        <w:t>Q1:</w:t>
      </w:r>
      <w:r>
        <w:t xml:space="preserve"> "How can multi-sectoral governance frameworks (e.g., spanning agriculture, health, trade, and environment ministries) reconcile structural contradictions where conventional input subsidies </w:t>
      </w:r>
      <w:r>
        <w:lastRenderedPageBreak/>
        <w:t>actively undermine agroecological and regenerative transitions?"</w:t>
      </w:r>
    </w:p>
    <w:p w14:paraId="5B706FFA" w14:textId="77777777" w:rsidR="00FB019D" w:rsidRDefault="00000000">
      <w:pPr>
        <w:numPr>
          <w:ilvl w:val="0"/>
          <w:numId w:val="2"/>
        </w:numPr>
        <w:pBdr>
          <w:top w:val="nil"/>
          <w:left w:val="nil"/>
          <w:bottom w:val="nil"/>
          <w:right w:val="nil"/>
          <w:between w:val="nil"/>
        </w:pBdr>
        <w:spacing w:before="0" w:after="0"/>
        <w:ind w:right="0"/>
      </w:pPr>
      <w:r>
        <w:rPr>
          <w:i/>
          <w:iCs/>
        </w:rPr>
        <w:t>Q17:</w:t>
      </w:r>
      <w:r>
        <w:t xml:space="preserve"> "When scaling alternative food networks, how do local initiatives navigate the risk of institutional co-optation by the state or industrial capture by major corporate actors without losing their foundational social and ecological values?"</w:t>
      </w:r>
    </w:p>
    <w:p w14:paraId="5B706FFB" w14:textId="77777777" w:rsidR="00FB019D" w:rsidRDefault="00000000">
      <w:pPr>
        <w:numPr>
          <w:ilvl w:val="0"/>
          <w:numId w:val="2"/>
        </w:numPr>
        <w:pBdr>
          <w:top w:val="nil"/>
          <w:left w:val="nil"/>
          <w:bottom w:val="nil"/>
          <w:right w:val="nil"/>
          <w:between w:val="nil"/>
        </w:pBdr>
        <w:spacing w:before="0" w:after="0"/>
        <w:ind w:right="0"/>
      </w:pPr>
      <w:r>
        <w:rPr>
          <w:i/>
          <w:iCs/>
        </w:rPr>
        <w:t>Q3:</w:t>
      </w:r>
      <w:r>
        <w:t xml:space="preserve"> "How can policy mixes effectively deploy elements of 'creative destruction'—simultaneously withdrawing support for input-intensive, extractive production models while protecting vulnerable smallholders during the multi-year transition phase?"</w:t>
      </w:r>
    </w:p>
    <w:p w14:paraId="5B706FFC" w14:textId="77777777" w:rsidR="00FB019D" w:rsidRDefault="00000000">
      <w:pPr>
        <w:pStyle w:val="Heading3"/>
        <w:spacing w:after="320"/>
      </w:pPr>
      <w:r>
        <w:t>Expert Critique &amp; Systems-Thinking Analysis</w:t>
      </w:r>
    </w:p>
    <w:p w14:paraId="5B706FFD" w14:textId="77777777" w:rsidR="00FB019D" w:rsidRDefault="00000000">
      <w:pPr>
        <w:pBdr>
          <w:top w:val="nil"/>
          <w:left w:val="nil"/>
          <w:bottom w:val="nil"/>
          <w:right w:val="nil"/>
          <w:between w:val="nil"/>
        </w:pBdr>
        <w:spacing w:before="0" w:after="320"/>
        <w:ind w:left="0" w:right="0"/>
      </w:pPr>
      <w:r>
        <w:t xml:space="preserve">You are entirely right—and this points to a major blind spot in conventional policy design. Most standard policy instruments (taxation, top-down ESG mandates, rigid certification standards) are built for </w:t>
      </w:r>
      <w:r>
        <w:rPr>
          <w:b/>
          <w:bCs/>
        </w:rPr>
        <w:t>macro-level compliance and corporate accounting</w:t>
      </w:r>
      <w:r>
        <w:t xml:space="preserve">, not for grassroots institutional building. They treat farmers as isolated economic units rather than collective social actors. When policy ignores </w:t>
      </w:r>
      <w:r>
        <w:rPr>
          <w:b/>
          <w:bCs/>
        </w:rPr>
        <w:t>cooperative mechanisms and social infrastructure</w:t>
      </w:r>
      <w:r>
        <w:t>, it fails to address the root cause of smallholder exclusion: a lack of bargaining power and collective agency.</w:t>
      </w:r>
    </w:p>
    <w:p w14:paraId="5B706FFE" w14:textId="77777777" w:rsidR="00FB019D" w:rsidRDefault="00000000">
      <w:pPr>
        <w:pBdr>
          <w:top w:val="nil"/>
          <w:left w:val="nil"/>
          <w:bottom w:val="nil"/>
          <w:right w:val="nil"/>
          <w:between w:val="nil"/>
        </w:pBdr>
        <w:spacing w:before="0" w:after="320"/>
        <w:ind w:left="0" w:right="0"/>
      </w:pPr>
      <w:r>
        <w:t>To break this down, let’s first categorize the common policy tools currently deployed in sustainable agri-food systems, and then critically examine why they bypass cooperatives and how we can bridge that gap.</w:t>
      </w:r>
    </w:p>
    <w:p w14:paraId="5B706FFF" w14:textId="77777777" w:rsidR="00FB019D" w:rsidRDefault="00000000">
      <w:pPr>
        <w:pStyle w:val="Heading3"/>
        <w:spacing w:before="0"/>
      </w:pPr>
      <w:r>
        <w:t>Categorized Policy &amp; Market Instruments for Agri-Food Systems</w:t>
      </w:r>
    </w:p>
    <w:p w14:paraId="5B707000" w14:textId="77777777" w:rsidR="00FB019D" w:rsidRDefault="00000000">
      <w:pPr>
        <w:numPr>
          <w:ilvl w:val="0"/>
          <w:numId w:val="3"/>
        </w:numPr>
        <w:pBdr>
          <w:top w:val="nil"/>
          <w:left w:val="nil"/>
          <w:bottom w:val="nil"/>
          <w:right w:val="nil"/>
          <w:between w:val="nil"/>
        </w:pBdr>
        <w:spacing w:before="0" w:after="0"/>
        <w:ind w:right="0"/>
      </w:pPr>
      <w:r>
        <w:rPr>
          <w:b/>
          <w:bCs/>
        </w:rPr>
        <w:t>Fiscal and Economic Instruments</w:t>
      </w:r>
    </w:p>
    <w:p w14:paraId="5B707001" w14:textId="77777777" w:rsidR="00FB019D" w:rsidRDefault="00000000">
      <w:pPr>
        <w:numPr>
          <w:ilvl w:val="1"/>
          <w:numId w:val="4"/>
        </w:numPr>
        <w:pBdr>
          <w:top w:val="nil"/>
          <w:left w:val="nil"/>
          <w:bottom w:val="nil"/>
          <w:right w:val="nil"/>
          <w:between w:val="nil"/>
        </w:pBdr>
        <w:spacing w:before="0" w:after="0"/>
        <w:ind w:right="0"/>
      </w:pPr>
      <w:r>
        <w:rPr>
          <w:i/>
          <w:iCs/>
        </w:rPr>
        <w:t>Examples:</w:t>
      </w:r>
      <w:r>
        <w:t xml:space="preserve"> Input subsidies, targeted tax reductions for green technologies, carbon credits, payments for ecosystem services (PES), preferential green credit lines, and risk-sharing transition grants.</w:t>
      </w:r>
    </w:p>
    <w:p w14:paraId="5B707002" w14:textId="77777777" w:rsidR="00FB019D" w:rsidRDefault="00000000">
      <w:pPr>
        <w:numPr>
          <w:ilvl w:val="1"/>
          <w:numId w:val="4"/>
        </w:numPr>
        <w:pBdr>
          <w:top w:val="nil"/>
          <w:left w:val="nil"/>
          <w:bottom w:val="nil"/>
          <w:right w:val="nil"/>
          <w:between w:val="nil"/>
        </w:pBdr>
        <w:spacing w:before="0" w:after="0"/>
        <w:ind w:right="0"/>
      </w:pPr>
      <w:r>
        <w:rPr>
          <w:i/>
          <w:iCs/>
        </w:rPr>
        <w:t>The Blind Spot:</w:t>
      </w:r>
      <w:r>
        <w:t xml:space="preserve"> Typically flow through commercial banks or large agribusiness aggregators, making them virtually inaccessible to informal or undercapitalized smallholder cooperatives due to strict collateral and auditing requirements.</w:t>
      </w:r>
    </w:p>
    <w:p w14:paraId="5B707003" w14:textId="77777777" w:rsidR="00FB019D" w:rsidRDefault="00000000">
      <w:pPr>
        <w:numPr>
          <w:ilvl w:val="0"/>
          <w:numId w:val="3"/>
        </w:numPr>
        <w:pBdr>
          <w:top w:val="nil"/>
          <w:left w:val="nil"/>
          <w:bottom w:val="nil"/>
          <w:right w:val="nil"/>
          <w:between w:val="nil"/>
        </w:pBdr>
        <w:spacing w:before="0" w:after="0"/>
        <w:ind w:right="0"/>
      </w:pPr>
      <w:r>
        <w:rPr>
          <w:b/>
          <w:bCs/>
        </w:rPr>
        <w:t>Regulatory and Standards-Based Instruments</w:t>
      </w:r>
    </w:p>
    <w:p w14:paraId="5B707004" w14:textId="77777777" w:rsidR="00FB019D" w:rsidRDefault="00000000">
      <w:pPr>
        <w:numPr>
          <w:ilvl w:val="1"/>
          <w:numId w:val="5"/>
        </w:numPr>
        <w:pBdr>
          <w:top w:val="nil"/>
          <w:left w:val="nil"/>
          <w:bottom w:val="nil"/>
          <w:right w:val="nil"/>
          <w:between w:val="nil"/>
        </w:pBdr>
        <w:spacing w:before="0" w:after="0"/>
        <w:ind w:right="0"/>
      </w:pPr>
      <w:r>
        <w:rPr>
          <w:i/>
          <w:iCs/>
        </w:rPr>
        <w:t>Examples:</w:t>
      </w:r>
      <w:r>
        <w:t xml:space="preserve"> Mandatory national standards (e.g., CamGAP, VietGAP), phytosanitary regulations, eco-labeling laws, zoning restrictions on agrochemicals, and corporate sustainability due diligence laws.</w:t>
      </w:r>
    </w:p>
    <w:p w14:paraId="5B707005" w14:textId="77777777" w:rsidR="00FB019D" w:rsidRDefault="00000000">
      <w:pPr>
        <w:numPr>
          <w:ilvl w:val="1"/>
          <w:numId w:val="5"/>
        </w:numPr>
        <w:pBdr>
          <w:top w:val="nil"/>
          <w:left w:val="nil"/>
          <w:bottom w:val="nil"/>
          <w:right w:val="nil"/>
          <w:between w:val="nil"/>
        </w:pBdr>
        <w:spacing w:before="0" w:after="0"/>
        <w:ind w:right="0"/>
      </w:pPr>
      <w:r>
        <w:rPr>
          <w:i/>
          <w:iCs/>
        </w:rPr>
        <w:t>The Blind Spot:</w:t>
      </w:r>
      <w:r>
        <w:t xml:space="preserve"> Imposed as top-down compliance burdens. They assume every producer can independently absorb individual certification costs, completely ignoring the reality that smallholders </w:t>
      </w:r>
      <w:r>
        <w:rPr>
          <w:i/>
          <w:iCs/>
        </w:rPr>
        <w:t>must</w:t>
      </w:r>
      <w:r>
        <w:t xml:space="preserve"> organize collectively (via cooperatives or PGS) to share these costs.</w:t>
      </w:r>
    </w:p>
    <w:p w14:paraId="5B707006" w14:textId="77777777" w:rsidR="00FB019D" w:rsidRDefault="00000000">
      <w:pPr>
        <w:numPr>
          <w:ilvl w:val="0"/>
          <w:numId w:val="3"/>
        </w:numPr>
        <w:pBdr>
          <w:top w:val="nil"/>
          <w:left w:val="nil"/>
          <w:bottom w:val="nil"/>
          <w:right w:val="nil"/>
          <w:between w:val="nil"/>
        </w:pBdr>
        <w:spacing w:before="0" w:after="0"/>
        <w:ind w:right="0"/>
      </w:pPr>
      <w:r>
        <w:rPr>
          <w:b/>
          <w:bCs/>
        </w:rPr>
        <w:t>Market-Facing and Transparency Instruments</w:t>
      </w:r>
    </w:p>
    <w:p w14:paraId="5B707007" w14:textId="77777777" w:rsidR="00FB019D" w:rsidRDefault="00000000">
      <w:pPr>
        <w:numPr>
          <w:ilvl w:val="1"/>
          <w:numId w:val="6"/>
        </w:numPr>
        <w:pBdr>
          <w:top w:val="nil"/>
          <w:left w:val="nil"/>
          <w:bottom w:val="nil"/>
          <w:right w:val="nil"/>
          <w:between w:val="nil"/>
        </w:pBdr>
        <w:spacing w:before="0" w:after="0"/>
        <w:ind w:right="0"/>
      </w:pPr>
      <w:r>
        <w:rPr>
          <w:i/>
          <w:iCs/>
        </w:rPr>
        <w:t>Examples:</w:t>
      </w:r>
      <w:r>
        <w:t xml:space="preserve"> Digital traceability platforms, blockchain verification, QR-code disclosure mandates, and public green procurement policies (such as home-grown school feeding).</w:t>
      </w:r>
    </w:p>
    <w:p w14:paraId="5B707008" w14:textId="77777777" w:rsidR="00FB019D" w:rsidRDefault="00000000">
      <w:pPr>
        <w:numPr>
          <w:ilvl w:val="1"/>
          <w:numId w:val="6"/>
        </w:numPr>
        <w:pBdr>
          <w:top w:val="nil"/>
          <w:left w:val="nil"/>
          <w:bottom w:val="nil"/>
          <w:right w:val="nil"/>
          <w:between w:val="nil"/>
        </w:pBdr>
        <w:spacing w:before="0" w:after="0"/>
        <w:ind w:right="0"/>
      </w:pPr>
      <w:r>
        <w:rPr>
          <w:i/>
          <w:iCs/>
        </w:rPr>
        <w:t>The Blind Spot:</w:t>
      </w:r>
      <w:r>
        <w:t xml:space="preserve"> Usually digitalized and market-led, favoring large midstream processors and supermarkets with established tech infrastructure while leaving out traditional wet markets and local cooperatives where smallholders actually sell their produce.</w:t>
      </w:r>
    </w:p>
    <w:p w14:paraId="5B707009" w14:textId="77777777" w:rsidR="00FB019D" w:rsidRDefault="00000000">
      <w:pPr>
        <w:numPr>
          <w:ilvl w:val="0"/>
          <w:numId w:val="3"/>
        </w:numPr>
        <w:pBdr>
          <w:top w:val="nil"/>
          <w:left w:val="nil"/>
          <w:bottom w:val="nil"/>
          <w:right w:val="nil"/>
          <w:between w:val="nil"/>
        </w:pBdr>
        <w:spacing w:before="0" w:after="0"/>
        <w:ind w:right="0"/>
      </w:pPr>
      <w:r>
        <w:rPr>
          <w:b/>
          <w:bCs/>
        </w:rPr>
        <w:t>Institutional and Participatory Governance Instruments</w:t>
      </w:r>
    </w:p>
    <w:p w14:paraId="5B70700A" w14:textId="77777777" w:rsidR="00FB019D" w:rsidRDefault="00000000">
      <w:pPr>
        <w:numPr>
          <w:ilvl w:val="1"/>
          <w:numId w:val="7"/>
        </w:numPr>
        <w:pBdr>
          <w:top w:val="nil"/>
          <w:left w:val="nil"/>
          <w:bottom w:val="nil"/>
          <w:right w:val="nil"/>
          <w:between w:val="nil"/>
        </w:pBdr>
        <w:spacing w:before="0" w:after="0"/>
        <w:ind w:right="0"/>
      </w:pPr>
      <w:r>
        <w:rPr>
          <w:i/>
          <w:iCs/>
        </w:rPr>
        <w:t>Examples:</w:t>
      </w:r>
      <w:r>
        <w:t xml:space="preserve"> Multi-stakeholder platforms (e.g., CASIC in Cambodia), Participatory Guarantee Systems (PGS), farmer field schools, and legally recognized cooperative frameworks.</w:t>
      </w:r>
    </w:p>
    <w:p w14:paraId="5B70700B" w14:textId="77777777" w:rsidR="00FB019D" w:rsidRDefault="00000000">
      <w:pPr>
        <w:numPr>
          <w:ilvl w:val="1"/>
          <w:numId w:val="7"/>
        </w:numPr>
        <w:pBdr>
          <w:top w:val="nil"/>
          <w:left w:val="nil"/>
          <w:bottom w:val="nil"/>
          <w:right w:val="nil"/>
          <w:between w:val="nil"/>
        </w:pBdr>
        <w:spacing w:before="0" w:after="0"/>
        <w:ind w:right="0"/>
      </w:pPr>
      <w:r>
        <w:rPr>
          <w:i/>
          <w:iCs/>
        </w:rPr>
        <w:t>The Crucial Link:</w:t>
      </w:r>
      <w:r>
        <w:t xml:space="preserve"> </w:t>
      </w:r>
      <w:r>
        <w:rPr>
          <w:b/>
          <w:bCs/>
        </w:rPr>
        <w:t>This is the exact category where true cooperative mechanisms live.</w:t>
      </w:r>
      <w:r>
        <w:t xml:space="preserve"> Yet, in many developing contexts, these are treated as "soft" project-based interventions rather than core, legally empowered infrastructure of national agricultural policy.</w:t>
      </w:r>
    </w:p>
    <w:p w14:paraId="5B70700C" w14:textId="77777777" w:rsidR="00FB019D" w:rsidRDefault="00000000">
      <w:pPr>
        <w:pStyle w:val="Heading3"/>
        <w:spacing w:after="320"/>
      </w:pPr>
      <w:r>
        <w:t>Why Missing the Cooperative Mechanism Breaks the Policy Mix</w:t>
      </w:r>
    </w:p>
    <w:p w14:paraId="5B70700D" w14:textId="77777777" w:rsidR="00FB019D" w:rsidRDefault="00000000">
      <w:pPr>
        <w:pBdr>
          <w:top w:val="nil"/>
          <w:left w:val="nil"/>
          <w:bottom w:val="nil"/>
          <w:right w:val="nil"/>
          <w:between w:val="nil"/>
        </w:pBdr>
        <w:spacing w:before="0" w:after="320"/>
        <w:ind w:left="0" w:right="0"/>
      </w:pPr>
      <w:r>
        <w:lastRenderedPageBreak/>
        <w:t xml:space="preserve">As noted in the ASEAN-CGIAR scoping review, smallholders trying to adopt regenerative agriculture face an </w:t>
      </w:r>
      <w:r>
        <w:rPr>
          <w:b/>
          <w:bCs/>
        </w:rPr>
        <w:t>exclusion paradox</w:t>
      </w:r>
      <w:r>
        <w:t>: formal certification and market mechanisms are designed to help them, but their high compliance, auditing, and transaction costs actively exclude the small-scale farmer.</w:t>
      </w:r>
    </w:p>
    <w:p w14:paraId="5B70700E" w14:textId="77777777" w:rsidR="00FB019D" w:rsidRDefault="00000000">
      <w:pPr>
        <w:numPr>
          <w:ilvl w:val="0"/>
          <w:numId w:val="8"/>
        </w:numPr>
        <w:pBdr>
          <w:top w:val="nil"/>
          <w:left w:val="nil"/>
          <w:bottom w:val="nil"/>
          <w:right w:val="nil"/>
          <w:between w:val="nil"/>
        </w:pBdr>
        <w:spacing w:before="0" w:after="0"/>
        <w:ind w:right="0"/>
      </w:pPr>
      <w:r>
        <w:rPr>
          <w:b/>
          <w:bCs/>
        </w:rPr>
        <w:t>The Midstream Bottleneck:</w:t>
      </w:r>
      <w:r>
        <w:t xml:space="preserve"> Without strong cooperatives, individual farmers remain atomized price-takers. Even if a government introduces wonderful tax breaks or training programs for RA, the economic value is easily captured by midstream collectors and lenders who control credit and transport (as seen in the freshwater fish or cashew chains in Battambang).</w:t>
      </w:r>
    </w:p>
    <w:p w14:paraId="5B70700F" w14:textId="77777777" w:rsidR="00FB019D" w:rsidRDefault="00000000">
      <w:pPr>
        <w:numPr>
          <w:ilvl w:val="0"/>
          <w:numId w:val="8"/>
        </w:numPr>
        <w:pBdr>
          <w:top w:val="nil"/>
          <w:left w:val="nil"/>
          <w:bottom w:val="nil"/>
          <w:right w:val="nil"/>
          <w:between w:val="nil"/>
        </w:pBdr>
        <w:spacing w:before="0" w:after="0"/>
        <w:ind w:right="0"/>
      </w:pPr>
      <w:r>
        <w:rPr>
          <w:b/>
          <w:bCs/>
        </w:rPr>
        <w:t>Cooperatives as Operational Infrastructure:</w:t>
      </w:r>
      <w:r>
        <w:t xml:space="preserve"> Cooperatives are not just social clubs; they are the necessary </w:t>
      </w:r>
      <w:r>
        <w:rPr>
          <w:b/>
          <w:bCs/>
        </w:rPr>
        <w:t>operational vehicle</w:t>
      </w:r>
      <w:r>
        <w:t xml:space="preserve"> for group certification, bulk purchasing of biological inputs, shared cold storage, and collective bargaining. If policy tools (like ESG frameworks or green subsidies) do not intentionally target and channel resources through cooperative entities, they will inevitably reinforce agrarian inequality by only empowering large-scale, vertically integrated farms.</w:t>
      </w:r>
    </w:p>
    <w:p w14:paraId="5B707010" w14:textId="77777777" w:rsidR="00FB019D" w:rsidRDefault="00000000">
      <w:pPr>
        <w:pBdr>
          <w:top w:val="nil"/>
          <w:left w:val="nil"/>
          <w:bottom w:val="nil"/>
          <w:right w:val="nil"/>
          <w:between w:val="nil"/>
        </w:pBdr>
        <w:spacing w:before="320" w:after="320"/>
        <w:ind w:left="0" w:right="0"/>
      </w:pPr>
      <w:r>
        <w:t>How would you like to build on this? Should we explore how national policies can legally elevate and protect cooperative-led mechanisms (like group certification or local aggregation hubs) so they aren't crushed by corporate-dominated value chains?</w:t>
      </w:r>
    </w:p>
    <w:p w14:paraId="5B707011" w14:textId="77777777" w:rsidR="00FB019D" w:rsidRDefault="00000000">
      <w:pPr>
        <w:pBdr>
          <w:top w:val="nil"/>
          <w:left w:val="nil"/>
          <w:bottom w:val="nil"/>
          <w:right w:val="nil"/>
          <w:between w:val="nil"/>
        </w:pBdr>
        <w:spacing w:before="0" w:after="0"/>
        <w:ind w:left="0" w:right="0"/>
      </w:pPr>
      <w:r>
        <w:pict w14:anchorId="5B7072E4">
          <v:rect id="_x0000_i1032" style="width:0;height:1.5pt" o:hralign="center" o:hrstd="t" o:hr="t" fillcolor="#a0a0a0" stroked="f"/>
        </w:pict>
      </w:r>
    </w:p>
    <w:p w14:paraId="5B707012"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Now we should look at examples. How do LMICs and OECD countries do per the literature?</w:t>
      </w:r>
    </w:p>
    <w:p w14:paraId="5B707013"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7014" w14:textId="77777777" w:rsidR="00FB019D" w:rsidRDefault="00000000">
      <w:pPr>
        <w:numPr>
          <w:ilvl w:val="0"/>
          <w:numId w:val="9"/>
        </w:numPr>
        <w:pBdr>
          <w:top w:val="nil"/>
          <w:left w:val="nil"/>
          <w:bottom w:val="nil"/>
          <w:right w:val="nil"/>
          <w:between w:val="nil"/>
        </w:pBdr>
        <w:spacing w:before="0" w:after="0"/>
        <w:ind w:right="0"/>
      </w:pPr>
      <w:r>
        <w:rPr>
          <w:i/>
          <w:iCs/>
        </w:rPr>
        <w:t>Q2:</w:t>
      </w:r>
      <w:r>
        <w:t xml:space="preserve"> "To what extent do top-down state-mandated certification schemes (such as national Good Agricultural Practices) act as bureaucratic barriers rather than market enablers for smallholder-dominated value chains, and how can participatory guarantee systems (PGS) be legally institutionalized without losing their grassroots flexibility?"</w:t>
      </w:r>
    </w:p>
    <w:p w14:paraId="5B707015" w14:textId="77777777" w:rsidR="00FB019D" w:rsidRDefault="00000000">
      <w:pPr>
        <w:numPr>
          <w:ilvl w:val="0"/>
          <w:numId w:val="9"/>
        </w:numPr>
        <w:pBdr>
          <w:top w:val="nil"/>
          <w:left w:val="nil"/>
          <w:bottom w:val="nil"/>
          <w:right w:val="nil"/>
          <w:between w:val="nil"/>
        </w:pBdr>
        <w:spacing w:before="0" w:after="0"/>
        <w:ind w:right="0"/>
      </w:pPr>
      <w:r>
        <w:rPr>
          <w:i/>
          <w:iCs/>
        </w:rPr>
        <w:t>Q10:</w:t>
      </w:r>
      <w:r>
        <w:t xml:space="preserve"> "How can verification models evolve past expensive third-party auditing to create scalable, low-cost credibility frameworks that maintain international market access while remaining economically viable for small-scale landholders?"</w:t>
      </w:r>
    </w:p>
    <w:p w14:paraId="5B707016" w14:textId="77777777" w:rsidR="00FB019D" w:rsidRDefault="00000000">
      <w:pPr>
        <w:numPr>
          <w:ilvl w:val="0"/>
          <w:numId w:val="9"/>
        </w:numPr>
        <w:pBdr>
          <w:top w:val="nil"/>
          <w:left w:val="nil"/>
          <w:bottom w:val="nil"/>
          <w:right w:val="nil"/>
          <w:between w:val="nil"/>
        </w:pBdr>
        <w:spacing w:before="0" w:after="0"/>
        <w:ind w:right="0"/>
      </w:pPr>
      <w:r>
        <w:rPr>
          <w:i/>
          <w:iCs/>
        </w:rPr>
        <w:t>Q18:</w:t>
      </w:r>
      <w:r>
        <w:t xml:space="preserve"> "What distinct structural roles do cooperatives, non-governmental organizations, and local market intermediaries play in bridging the gap between localized regenerative production experiments and macro-level urban markets?"</w:t>
      </w:r>
    </w:p>
    <w:p w14:paraId="5B707017" w14:textId="77777777" w:rsidR="00FB019D" w:rsidRDefault="00000000">
      <w:pPr>
        <w:pStyle w:val="Heading3"/>
        <w:spacing w:after="320"/>
      </w:pPr>
      <w:r>
        <w:t>Expert Critique &amp; Systems-Thinking Analysis</w:t>
      </w:r>
    </w:p>
    <w:p w14:paraId="5B707018" w14:textId="77777777" w:rsidR="00FB019D" w:rsidRDefault="00000000">
      <w:pPr>
        <w:pBdr>
          <w:top w:val="nil"/>
          <w:left w:val="nil"/>
          <w:bottom w:val="nil"/>
          <w:right w:val="nil"/>
          <w:between w:val="nil"/>
        </w:pBdr>
        <w:spacing w:before="0" w:after="320"/>
        <w:ind w:left="0" w:right="0"/>
      </w:pPr>
      <w:r>
        <w:t>Looking at how LMICs (Low- and Middle-Income Countries) versus OECD countries handle policy landscapes and cooperatives reveals a massive structural divergence in how agricultural transitions are financed and governed.</w:t>
      </w:r>
    </w:p>
    <w:p w14:paraId="5B707019" w14:textId="77777777" w:rsidR="00FB019D" w:rsidRDefault="00000000">
      <w:pPr>
        <w:pStyle w:val="Heading3"/>
        <w:spacing w:before="0" w:after="320"/>
      </w:pPr>
      <w:r>
        <w:t>1. The OECD Approach: Capital-Heavy, Subsidized, and Structurally Embedded Cooperatives</w:t>
      </w:r>
    </w:p>
    <w:p w14:paraId="5B70701A" w14:textId="77777777" w:rsidR="00FB019D" w:rsidRDefault="00000000">
      <w:pPr>
        <w:pBdr>
          <w:top w:val="nil"/>
          <w:left w:val="nil"/>
          <w:bottom w:val="nil"/>
          <w:right w:val="nil"/>
          <w:between w:val="nil"/>
        </w:pBdr>
        <w:spacing w:before="0" w:after="320"/>
        <w:ind w:left="0" w:right="0"/>
      </w:pPr>
      <w:r>
        <w:t>In OECD contexts (such as the European Union’s Common Agricultural Policy or US farm bills), cooperatives and producer organizations are deeply institutionalized as permanent pillars of the agricultural economy.</w:t>
      </w:r>
    </w:p>
    <w:p w14:paraId="5B70701B" w14:textId="77777777" w:rsidR="00FB019D" w:rsidRDefault="00000000">
      <w:pPr>
        <w:numPr>
          <w:ilvl w:val="0"/>
          <w:numId w:val="10"/>
        </w:numPr>
        <w:pBdr>
          <w:top w:val="nil"/>
          <w:left w:val="nil"/>
          <w:bottom w:val="nil"/>
          <w:right w:val="nil"/>
          <w:between w:val="nil"/>
        </w:pBdr>
        <w:spacing w:before="0" w:after="0"/>
        <w:ind w:right="0"/>
      </w:pPr>
      <w:r>
        <w:rPr>
          <w:b/>
          <w:bCs/>
        </w:rPr>
        <w:t>Integration with Policy:</w:t>
      </w:r>
      <w:r>
        <w:t xml:space="preserve"> Modern OECD environmental policy relies heavily on </w:t>
      </w:r>
      <w:r>
        <w:rPr>
          <w:b/>
          <w:bCs/>
        </w:rPr>
        <w:t>eco-schemes</w:t>
      </w:r>
      <w:r>
        <w:t xml:space="preserve"> and </w:t>
      </w:r>
      <w:r>
        <w:lastRenderedPageBreak/>
        <w:t>decoupled payments. Crucially, cooperatives in countries like France, Germany, or the Netherlands often act as the aggregation and advisory conduit through which farmers access these green subsidies, technical training, and collective compliance audits.</w:t>
      </w:r>
    </w:p>
    <w:p w14:paraId="5B70701C" w14:textId="77777777" w:rsidR="00FB019D" w:rsidRDefault="00000000">
      <w:pPr>
        <w:numPr>
          <w:ilvl w:val="0"/>
          <w:numId w:val="10"/>
        </w:numPr>
        <w:pBdr>
          <w:top w:val="nil"/>
          <w:left w:val="nil"/>
          <w:bottom w:val="nil"/>
          <w:right w:val="nil"/>
          <w:between w:val="nil"/>
        </w:pBdr>
        <w:spacing w:before="0" w:after="0"/>
        <w:ind w:right="0"/>
      </w:pPr>
      <w:r>
        <w:rPr>
          <w:b/>
          <w:bCs/>
        </w:rPr>
        <w:t>The Catch:</w:t>
      </w:r>
      <w:r>
        <w:t xml:space="preserve"> While well-funded, OECD models struggle with bureaucratic rigidities. As highlighted in recent literature, large European cooperatives face challenges where their sheer market share draws antitrust scrutiny, or where top-down EU environmental directives (like the Farm to Fork strategy) trigger fierce resistance because they are perceived as technocratic mandates imposed from above without sufficient regional flexibility.</w:t>
      </w:r>
    </w:p>
    <w:p w14:paraId="5B70701D" w14:textId="77777777" w:rsidR="00FB019D" w:rsidRDefault="00000000">
      <w:pPr>
        <w:pStyle w:val="Heading3"/>
        <w:spacing w:after="320"/>
      </w:pPr>
      <w:r>
        <w:t>2. The LMIC Approach: Project-Dependent, Fragmented, and Informal</w:t>
      </w:r>
    </w:p>
    <w:p w14:paraId="5B70701E" w14:textId="77777777" w:rsidR="00FB019D" w:rsidRDefault="00000000">
      <w:pPr>
        <w:pBdr>
          <w:top w:val="nil"/>
          <w:left w:val="nil"/>
          <w:bottom w:val="nil"/>
          <w:right w:val="nil"/>
          <w:between w:val="nil"/>
        </w:pBdr>
        <w:spacing w:before="0" w:after="320"/>
        <w:ind w:left="0" w:right="0"/>
      </w:pPr>
      <w:r>
        <w:t>In LMIC contexts across Southeast Asia (such as Vietnam, Cambodia, or Laos), cooperatives and collective institutions occupy a completely different structural space.</w:t>
      </w:r>
    </w:p>
    <w:p w14:paraId="5B70701F" w14:textId="77777777" w:rsidR="00FB019D" w:rsidRDefault="00000000">
      <w:pPr>
        <w:numPr>
          <w:ilvl w:val="0"/>
          <w:numId w:val="11"/>
        </w:numPr>
        <w:pBdr>
          <w:top w:val="nil"/>
          <w:left w:val="nil"/>
          <w:bottom w:val="nil"/>
          <w:right w:val="nil"/>
          <w:between w:val="nil"/>
        </w:pBdr>
        <w:spacing w:before="0" w:after="0"/>
        <w:ind w:right="0"/>
      </w:pPr>
      <w:r>
        <w:rPr>
          <w:b/>
          <w:bCs/>
        </w:rPr>
        <w:t>Project-Led and Fragile:</w:t>
      </w:r>
      <w:r>
        <w:t xml:space="preserve"> Most LMIC cooperatives are not self-sustaining market giants; they are heavily dependent on external stimulus from NGOs, international development projects (like CGIAR initiatives), or sporadic government promotion programs.</w:t>
      </w:r>
    </w:p>
    <w:p w14:paraId="5B707020" w14:textId="77777777" w:rsidR="00FB019D" w:rsidRDefault="00000000">
      <w:pPr>
        <w:numPr>
          <w:ilvl w:val="0"/>
          <w:numId w:val="11"/>
        </w:numPr>
        <w:pBdr>
          <w:top w:val="nil"/>
          <w:left w:val="nil"/>
          <w:bottom w:val="nil"/>
          <w:right w:val="nil"/>
          <w:between w:val="nil"/>
        </w:pBdr>
        <w:spacing w:before="0" w:after="0"/>
        <w:ind w:right="0"/>
      </w:pPr>
      <w:r>
        <w:rPr>
          <w:b/>
          <w:bCs/>
        </w:rPr>
        <w:t>The Exclusion Paradox:</w:t>
      </w:r>
      <w:r>
        <w:t xml:space="preserve"> Lacking deep capital reserves, LMIC cooperatives struggle to finance group certification, traceability infrastructure, or post-harvest storage. Consequently, standard policy instruments—such as national GAP standards—frequently function as </w:t>
      </w:r>
      <w:r>
        <w:rPr>
          <w:b/>
          <w:bCs/>
        </w:rPr>
        <w:t>bureaucratic exclusion mechanisms</w:t>
      </w:r>
      <w:r>
        <w:t>; smallholders cannot afford the individual compliance audits, forcing them back into informal, extractive collector-driven supply chains.</w:t>
      </w:r>
    </w:p>
    <w:p w14:paraId="5B707021" w14:textId="77777777" w:rsidR="00FB019D" w:rsidRDefault="00000000">
      <w:pPr>
        <w:pStyle w:val="Heading3"/>
        <w:spacing w:after="320"/>
      </w:pPr>
      <w:r>
        <w:t>Bridging the Gap: How Policy Should Treat Cooperatives</w:t>
      </w:r>
    </w:p>
    <w:p w14:paraId="5B707022" w14:textId="77777777" w:rsidR="00FB019D" w:rsidRDefault="00000000">
      <w:pPr>
        <w:pBdr>
          <w:top w:val="nil"/>
          <w:left w:val="nil"/>
          <w:bottom w:val="nil"/>
          <w:right w:val="nil"/>
          <w:between w:val="nil"/>
        </w:pBdr>
        <w:spacing w:before="0" w:after="320"/>
        <w:ind w:left="0" w:right="0"/>
      </w:pPr>
      <w:r>
        <w:t xml:space="preserve">The literature and field evidence demonstrate that to make policies effective for RA, governments must transition from treating cooperatives as </w:t>
      </w:r>
      <w:r>
        <w:rPr>
          <w:b/>
          <w:bCs/>
        </w:rPr>
        <w:t>vulnerable beneficiaries of short-term aid</w:t>
      </w:r>
      <w:r>
        <w:t xml:space="preserve"> to treating them as </w:t>
      </w:r>
      <w:r>
        <w:rPr>
          <w:b/>
          <w:bCs/>
        </w:rPr>
        <w:t>permanent public-interest infrastructure</w:t>
      </w:r>
      <w:r>
        <w:t>.</w:t>
      </w:r>
    </w:p>
    <w:p w14:paraId="5B707023" w14:textId="77777777" w:rsidR="00FB019D" w:rsidRDefault="00000000">
      <w:pPr>
        <w:pBdr>
          <w:top w:val="nil"/>
          <w:left w:val="nil"/>
          <w:bottom w:val="nil"/>
          <w:right w:val="nil"/>
          <w:between w:val="nil"/>
        </w:pBdr>
        <w:spacing w:before="0" w:after="320"/>
        <w:ind w:left="0" w:right="0"/>
      </w:pPr>
      <w:r>
        <w:t>This requires:</w:t>
      </w:r>
    </w:p>
    <w:p w14:paraId="5B707024" w14:textId="77777777" w:rsidR="00FB019D" w:rsidRDefault="00000000">
      <w:pPr>
        <w:numPr>
          <w:ilvl w:val="0"/>
          <w:numId w:val="12"/>
        </w:numPr>
        <w:pBdr>
          <w:top w:val="nil"/>
          <w:left w:val="nil"/>
          <w:bottom w:val="nil"/>
          <w:right w:val="nil"/>
          <w:between w:val="nil"/>
        </w:pBdr>
        <w:spacing w:before="0" w:after="0"/>
        <w:ind w:right="0"/>
      </w:pPr>
      <w:r>
        <w:rPr>
          <w:b/>
          <w:bCs/>
        </w:rPr>
        <w:t>Legalizing and Scaling Low-Cost Verification:</w:t>
      </w:r>
      <w:r>
        <w:t xml:space="preserve"> Giving official legal recognition to peer-to-peer mechanisms like Participatory Guarantee Systems (PGS) so that smallholder cooperatives can verify their own sustainable practices without paying exorbitant third-party auditing fees.</w:t>
      </w:r>
    </w:p>
    <w:p w14:paraId="5B707025" w14:textId="77777777" w:rsidR="00FB019D" w:rsidRDefault="00000000">
      <w:pPr>
        <w:numPr>
          <w:ilvl w:val="0"/>
          <w:numId w:val="12"/>
        </w:numPr>
        <w:pBdr>
          <w:top w:val="nil"/>
          <w:left w:val="nil"/>
          <w:bottom w:val="nil"/>
          <w:right w:val="nil"/>
          <w:between w:val="nil"/>
        </w:pBdr>
        <w:spacing w:before="0" w:after="0"/>
        <w:ind w:right="0"/>
      </w:pPr>
      <w:r>
        <w:rPr>
          <w:b/>
          <w:bCs/>
        </w:rPr>
        <w:t>Channeling Public Support Through Collective Entities:</w:t>
      </w:r>
      <w:r>
        <w:t xml:space="preserve"> Instead of directing green subsidies or transition credits to individual, isolated farmers (which favors large-scale commercial estates), governments should channel technical assistance and risk-sharing finance explicitly </w:t>
      </w:r>
      <w:r>
        <w:rPr>
          <w:i/>
          <w:iCs/>
        </w:rPr>
        <w:t>through</w:t>
      </w:r>
      <w:r>
        <w:t xml:space="preserve"> certified cooperatives and producer groups.</w:t>
      </w:r>
    </w:p>
    <w:p w14:paraId="5B707026" w14:textId="77777777" w:rsidR="00FB019D" w:rsidRDefault="00000000">
      <w:pPr>
        <w:pBdr>
          <w:top w:val="nil"/>
          <w:left w:val="nil"/>
          <w:bottom w:val="nil"/>
          <w:right w:val="nil"/>
          <w:between w:val="nil"/>
        </w:pBdr>
        <w:spacing w:before="0" w:after="0"/>
        <w:ind w:left="0" w:right="0"/>
      </w:pPr>
      <w:r>
        <w:pict w14:anchorId="5B7072E5">
          <v:rect id="_x0000_i1033" style="width:0;height:1.5pt" o:hralign="center" o:hrstd="t" o:hr="t" fillcolor="#a0a0a0" stroked="f"/>
        </w:pict>
      </w:r>
    </w:p>
    <w:p w14:paraId="5B707027"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How's about countries in the middle? Like many Latin American countries? Or countries which have been poor like South Korea, Taiwan? And also China?</w:t>
      </w:r>
    </w:p>
    <w:p w14:paraId="5B707028"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7029" w14:textId="77777777" w:rsidR="00FB019D" w:rsidRDefault="00000000">
      <w:pPr>
        <w:numPr>
          <w:ilvl w:val="0"/>
          <w:numId w:val="13"/>
        </w:numPr>
        <w:pBdr>
          <w:top w:val="nil"/>
          <w:left w:val="nil"/>
          <w:bottom w:val="nil"/>
          <w:right w:val="nil"/>
          <w:between w:val="nil"/>
        </w:pBdr>
        <w:spacing w:before="0" w:after="0"/>
        <w:ind w:right="0"/>
      </w:pPr>
      <w:r>
        <w:rPr>
          <w:i/>
          <w:iCs/>
        </w:rPr>
        <w:t>Q4:</w:t>
      </w:r>
      <w:r>
        <w:t xml:space="preserve"> "If national economic growth is prioritized, how do we ensure that the economic benefits of RA-driven resilience do not concentrate among large agro-industrial actors, but actively generate equitable returns and livelihood security for smallholder farmers?"</w:t>
      </w:r>
    </w:p>
    <w:p w14:paraId="5B70702A" w14:textId="77777777" w:rsidR="00FB019D" w:rsidRDefault="00000000">
      <w:pPr>
        <w:numPr>
          <w:ilvl w:val="0"/>
          <w:numId w:val="13"/>
        </w:numPr>
        <w:pBdr>
          <w:top w:val="nil"/>
          <w:left w:val="nil"/>
          <w:bottom w:val="nil"/>
          <w:right w:val="nil"/>
          <w:between w:val="nil"/>
        </w:pBdr>
        <w:spacing w:before="0" w:after="0"/>
        <w:ind w:right="0"/>
      </w:pPr>
      <w:r>
        <w:rPr>
          <w:i/>
          <w:iCs/>
        </w:rPr>
        <w:t>Q18:</w:t>
      </w:r>
      <w:r>
        <w:t xml:space="preserve"> "What distinct structural roles do cooperatives, non-governmental organizations, and local </w:t>
      </w:r>
      <w:r>
        <w:lastRenderedPageBreak/>
        <w:t>market intermediaries play in bridging the gap between localized regenerative production experiments and macro-level urban markets?"</w:t>
      </w:r>
    </w:p>
    <w:p w14:paraId="5B70702B" w14:textId="77777777" w:rsidR="00FB019D" w:rsidRDefault="00000000">
      <w:pPr>
        <w:numPr>
          <w:ilvl w:val="0"/>
          <w:numId w:val="13"/>
        </w:numPr>
        <w:pBdr>
          <w:top w:val="nil"/>
          <w:left w:val="nil"/>
          <w:bottom w:val="nil"/>
          <w:right w:val="nil"/>
          <w:between w:val="nil"/>
        </w:pBdr>
        <w:spacing w:before="0" w:after="0"/>
        <w:ind w:right="0"/>
      </w:pPr>
      <w:r>
        <w:rPr>
          <w:i/>
          <w:iCs/>
        </w:rPr>
        <w:t>Q2:</w:t>
      </w:r>
      <w:r>
        <w:t xml:space="preserve"> "To what extent do top-down state-mandated certification schemes (such as national Good Agricultural Practices) act as bureaucratic barriers rather than market enablers for smallholder-dominated value chains, and how can participatory guarantee systems (PGS) be legally institutionalized without losing their grassroots flexibility?"</w:t>
      </w:r>
    </w:p>
    <w:p w14:paraId="5B70702C" w14:textId="77777777" w:rsidR="00FB019D" w:rsidRDefault="00000000">
      <w:pPr>
        <w:pStyle w:val="Heading3"/>
        <w:spacing w:after="320"/>
      </w:pPr>
      <w:r>
        <w:t>Expert Critique &amp; Systems-Thinking Analysis</w:t>
      </w:r>
    </w:p>
    <w:p w14:paraId="5B70702D" w14:textId="77777777" w:rsidR="00FB019D" w:rsidRDefault="00000000">
      <w:pPr>
        <w:pBdr>
          <w:top w:val="nil"/>
          <w:left w:val="nil"/>
          <w:bottom w:val="nil"/>
          <w:right w:val="nil"/>
          <w:between w:val="nil"/>
        </w:pBdr>
        <w:spacing w:before="0" w:after="320"/>
        <w:ind w:left="0" w:right="0"/>
        <w:rPr>
          <w:b/>
          <w:bCs/>
        </w:rPr>
      </w:pPr>
      <w:r>
        <w:t xml:space="preserve">Looking at how </w:t>
      </w:r>
      <w:r>
        <w:rPr>
          <w:b/>
          <w:bCs/>
        </w:rPr>
        <w:t>Latin America, South Korea/Taiwan, and China</w:t>
      </w:r>
      <w:r>
        <w:t xml:space="preserve"> handle the intersection of state policy, economic growth, and cooperative structures provides a brilliant comparative laboratory. These regions prove that </w:t>
      </w:r>
      <w:r>
        <w:rPr>
          <w:b/>
          <w:bCs/>
        </w:rPr>
        <w:t>cooperatives can either be engineered into powerful national economic infrastructure or swallowed by state and corporate agendas.</w:t>
      </w:r>
    </w:p>
    <w:p w14:paraId="5B70702E" w14:textId="77777777" w:rsidR="00FB019D" w:rsidRDefault="00000000">
      <w:pPr>
        <w:pStyle w:val="Heading3"/>
        <w:spacing w:before="0" w:after="320"/>
      </w:pPr>
      <w:r>
        <w:t>1. South Korea and Taiwan: State-Engineered Cooperatives as National Infrastructure</w:t>
      </w:r>
    </w:p>
    <w:p w14:paraId="5B70702F" w14:textId="77777777" w:rsidR="00FB019D" w:rsidRDefault="00000000">
      <w:pPr>
        <w:pBdr>
          <w:top w:val="nil"/>
          <w:left w:val="nil"/>
          <w:bottom w:val="nil"/>
          <w:right w:val="nil"/>
          <w:between w:val="nil"/>
        </w:pBdr>
        <w:spacing w:before="0" w:after="320"/>
        <w:ind w:left="0" w:right="0"/>
      </w:pPr>
      <w:r>
        <w:t>Historically, South Korea and Taiwan faced conditions similar to or worse than many developing nations today (post-war poverty, fragmented smallholder plots, and absolute priority given to rapid economic growth).</w:t>
      </w:r>
    </w:p>
    <w:p w14:paraId="5B707030" w14:textId="77777777" w:rsidR="00FB019D" w:rsidRDefault="00000000">
      <w:pPr>
        <w:numPr>
          <w:ilvl w:val="0"/>
          <w:numId w:val="14"/>
        </w:numPr>
        <w:pBdr>
          <w:top w:val="nil"/>
          <w:left w:val="nil"/>
          <w:bottom w:val="nil"/>
          <w:right w:val="nil"/>
          <w:between w:val="nil"/>
        </w:pBdr>
        <w:spacing w:before="0" w:after="0"/>
        <w:ind w:right="0"/>
      </w:pPr>
      <w:r>
        <w:rPr>
          <w:b/>
          <w:bCs/>
        </w:rPr>
        <w:t>The Role of Cooperatives:</w:t>
      </w:r>
      <w:r>
        <w:t xml:space="preserve"> They did not leave cooperatives to organic, fragmented grassroots evolution. Instead, the state built highly centralized, legally empowered cooperative systems (such as the National Agricultural Cooperative Federation—NACF in South Korea).</w:t>
      </w:r>
    </w:p>
    <w:p w14:paraId="5B707031" w14:textId="77777777" w:rsidR="00FB019D" w:rsidRDefault="00000000">
      <w:pPr>
        <w:numPr>
          <w:ilvl w:val="0"/>
          <w:numId w:val="14"/>
        </w:numPr>
        <w:pBdr>
          <w:top w:val="nil"/>
          <w:left w:val="nil"/>
          <w:bottom w:val="nil"/>
          <w:right w:val="nil"/>
          <w:between w:val="nil"/>
        </w:pBdr>
        <w:spacing w:before="0" w:after="0"/>
        <w:ind w:right="0"/>
      </w:pPr>
      <w:r>
        <w:rPr>
          <w:b/>
          <w:bCs/>
        </w:rPr>
        <w:t>The Policy Mechanism:</w:t>
      </w:r>
      <w:r>
        <w:t xml:space="preserve"> The state used cooperatives as the </w:t>
      </w:r>
      <w:r>
        <w:rPr>
          <w:i/>
          <w:iCs/>
        </w:rPr>
        <w:t>exclusive pipeline</w:t>
      </w:r>
      <w:r>
        <w:t xml:space="preserve"> for agricultural credit, input distribution, extension services, and marketing. By tying smallholders directly into a state-backed cooperative framework, farmers retained collective bargaining power against the midstream.</w:t>
      </w:r>
    </w:p>
    <w:p w14:paraId="5B707032" w14:textId="77777777" w:rsidR="00FB019D" w:rsidRDefault="00000000">
      <w:pPr>
        <w:numPr>
          <w:ilvl w:val="0"/>
          <w:numId w:val="14"/>
        </w:numPr>
        <w:pBdr>
          <w:top w:val="nil"/>
          <w:left w:val="nil"/>
          <w:bottom w:val="nil"/>
          <w:right w:val="nil"/>
          <w:between w:val="nil"/>
        </w:pBdr>
        <w:spacing w:before="0" w:after="0"/>
        <w:ind w:right="0"/>
      </w:pPr>
      <w:r>
        <w:rPr>
          <w:b/>
          <w:bCs/>
        </w:rPr>
        <w:t>The Lesson for RA:</w:t>
      </w:r>
      <w:r>
        <w:t xml:space="preserve"> While historically focused on conventional green-revolution productivity, these strong cooperative structures are now the primary vehicles through which South Korea and Taiwan channel modern eco-schemes and carbon-reduction transition policies down to millions of smallholders. The state made cooperatives </w:t>
      </w:r>
      <w:r>
        <w:rPr>
          <w:i/>
          <w:iCs/>
        </w:rPr>
        <w:t>too big and vital to fail or bypass</w:t>
      </w:r>
      <w:r>
        <w:t>.</w:t>
      </w:r>
    </w:p>
    <w:p w14:paraId="5B707033" w14:textId="77777777" w:rsidR="00FB019D" w:rsidRDefault="00000000">
      <w:pPr>
        <w:pStyle w:val="Heading3"/>
        <w:spacing w:after="320"/>
      </w:pPr>
      <w:r>
        <w:t>2. Latin America: Social Movements, Territorial Markets, and Territorial Co-optation</w:t>
      </w:r>
    </w:p>
    <w:p w14:paraId="5B707034" w14:textId="77777777" w:rsidR="00FB019D" w:rsidRDefault="00000000">
      <w:pPr>
        <w:pBdr>
          <w:top w:val="nil"/>
          <w:left w:val="nil"/>
          <w:bottom w:val="nil"/>
          <w:right w:val="nil"/>
          <w:between w:val="nil"/>
        </w:pBdr>
        <w:spacing w:before="0" w:after="320"/>
        <w:ind w:left="0" w:right="0"/>
      </w:pPr>
      <w:r>
        <w:t xml:space="preserve">Latin America offers a completely different model—one driven heavily by </w:t>
      </w:r>
      <w:r>
        <w:rPr>
          <w:b/>
          <w:bCs/>
        </w:rPr>
        <w:t>agrarian social movements, territorial agroecology, and innovative public procurement</w:t>
      </w:r>
      <w:r>
        <w:t xml:space="preserve"> rather than top-down monolithic cooperatives.</w:t>
      </w:r>
    </w:p>
    <w:p w14:paraId="5B707035" w14:textId="77777777" w:rsidR="00FB019D" w:rsidRDefault="00000000">
      <w:pPr>
        <w:numPr>
          <w:ilvl w:val="0"/>
          <w:numId w:val="15"/>
        </w:numPr>
        <w:pBdr>
          <w:top w:val="nil"/>
          <w:left w:val="nil"/>
          <w:bottom w:val="nil"/>
          <w:right w:val="nil"/>
          <w:between w:val="nil"/>
        </w:pBdr>
        <w:spacing w:before="0" w:after="0"/>
        <w:ind w:right="0"/>
      </w:pPr>
      <w:r>
        <w:rPr>
          <w:b/>
          <w:bCs/>
        </w:rPr>
        <w:t>Institutional Innovation:</w:t>
      </w:r>
      <w:r>
        <w:t xml:space="preserve"> Countries like Brazil and Nicaragua pioneered </w:t>
      </w:r>
      <w:r>
        <w:rPr>
          <w:i/>
          <w:iCs/>
        </w:rPr>
        <w:t>institutional demand policies</w:t>
      </w:r>
      <w:r>
        <w:t xml:space="preserve">—such as Brazil's </w:t>
      </w:r>
      <w:r>
        <w:rPr>
          <w:i/>
          <w:iCs/>
        </w:rPr>
        <w:t>Programa de Aquisição de Alimentos</w:t>
      </w:r>
      <w:r>
        <w:t xml:space="preserve"> (Food Acquisition Program), which legally mandated that governments purchase a percentage of school and public food directly from family-farming cooperatives, paying a price premium for agroecological products.</w:t>
      </w:r>
    </w:p>
    <w:p w14:paraId="5B707036" w14:textId="77777777" w:rsidR="00FB019D" w:rsidRDefault="00000000">
      <w:pPr>
        <w:numPr>
          <w:ilvl w:val="0"/>
          <w:numId w:val="15"/>
        </w:numPr>
        <w:pBdr>
          <w:top w:val="nil"/>
          <w:left w:val="nil"/>
          <w:bottom w:val="nil"/>
          <w:right w:val="nil"/>
          <w:between w:val="nil"/>
        </w:pBdr>
        <w:spacing w:before="0" w:after="0"/>
        <w:ind w:right="0"/>
      </w:pPr>
      <w:r>
        <w:rPr>
          <w:b/>
          <w:bCs/>
        </w:rPr>
        <w:t>The Dual Reality:</w:t>
      </w:r>
      <w:r>
        <w:t xml:space="preserve"> Latin America also hosts massive, export-oriented industrial monocultures (soy, cattle, corn) where corporate capital completely dominates. In the sustainable/agroecological space, local movements rely heavily on </w:t>
      </w:r>
      <w:r>
        <w:rPr>
          <w:b/>
          <w:bCs/>
        </w:rPr>
        <w:t>Participatory Guarantee Systems (PGS)</w:t>
      </w:r>
      <w:r>
        <w:t xml:space="preserve"> and alternative food networks to protect smallholder agency. However, the constant tension in Latin America is that when governments change, these progressive, cooperative-friendly public policies are frequently </w:t>
      </w:r>
      <w:r>
        <w:lastRenderedPageBreak/>
        <w:t>defunded or subordinated to export-driven macroeconomic models.</w:t>
      </w:r>
    </w:p>
    <w:p w14:paraId="5B707037" w14:textId="77777777" w:rsidR="00FB019D" w:rsidRDefault="00000000">
      <w:pPr>
        <w:pStyle w:val="Heading3"/>
        <w:spacing w:after="320"/>
      </w:pPr>
      <w:r>
        <w:t>3. China: State-Capital Integration and "Dragon Head" Enterprises</w:t>
      </w:r>
    </w:p>
    <w:p w14:paraId="5B707038" w14:textId="77777777" w:rsidR="00FB019D" w:rsidRDefault="00000000">
      <w:pPr>
        <w:pBdr>
          <w:top w:val="nil"/>
          <w:left w:val="nil"/>
          <w:bottom w:val="nil"/>
          <w:right w:val="nil"/>
          <w:between w:val="nil"/>
        </w:pBdr>
        <w:spacing w:before="0" w:after="320"/>
        <w:ind w:left="0" w:right="0"/>
      </w:pPr>
      <w:r>
        <w:t>China represents a massive state-led scale transition where cooperatives were structurally promoted under specialized laws (e.g., the Farmers' Professional Cooperatives Law).</w:t>
      </w:r>
    </w:p>
    <w:p w14:paraId="5B707039" w14:textId="77777777" w:rsidR="00FB019D" w:rsidRDefault="00000000">
      <w:pPr>
        <w:numPr>
          <w:ilvl w:val="0"/>
          <w:numId w:val="16"/>
        </w:numPr>
        <w:pBdr>
          <w:top w:val="nil"/>
          <w:left w:val="nil"/>
          <w:bottom w:val="nil"/>
          <w:right w:val="nil"/>
          <w:between w:val="nil"/>
        </w:pBdr>
        <w:spacing w:before="0" w:after="0"/>
        <w:ind w:right="0"/>
      </w:pPr>
      <w:r>
        <w:rPr>
          <w:b/>
          <w:bCs/>
        </w:rPr>
        <w:t>The Model:</w:t>
      </w:r>
      <w:r>
        <w:t xml:space="preserve"> China’s approach relies heavily on connecting smallholders to </w:t>
      </w:r>
      <w:r>
        <w:rPr>
          <w:b/>
          <w:bCs/>
        </w:rPr>
        <w:t>"Dragon Head" enterprises</w:t>
      </w:r>
      <w:r>
        <w:t xml:space="preserve"> (large agro-industrial firms) or local government-backed cooperatives.</w:t>
      </w:r>
    </w:p>
    <w:p w14:paraId="5B70703A" w14:textId="77777777" w:rsidR="00FB019D" w:rsidRDefault="00000000">
      <w:pPr>
        <w:numPr>
          <w:ilvl w:val="0"/>
          <w:numId w:val="16"/>
        </w:numPr>
        <w:pBdr>
          <w:top w:val="nil"/>
          <w:left w:val="nil"/>
          <w:bottom w:val="nil"/>
          <w:right w:val="nil"/>
          <w:between w:val="nil"/>
        </w:pBdr>
        <w:spacing w:before="0" w:after="0"/>
        <w:ind w:right="0"/>
      </w:pPr>
      <w:r>
        <w:rPr>
          <w:b/>
          <w:bCs/>
        </w:rPr>
        <w:t>The Trade-off:</w:t>
      </w:r>
      <w:r>
        <w:t xml:space="preserve"> This model excels at rapidly deploying capital, scaling modern irrigation, enforcing strict national food safety standards, and driving technical modernization. However, it often creates a severe asymmetry of power: smallholders are organized into cooperatives primarily to lower transaction costs </w:t>
      </w:r>
      <w:r>
        <w:rPr>
          <w:i/>
          <w:iCs/>
        </w:rPr>
        <w:t>for the corporate or state-backed buyer</w:t>
      </w:r>
      <w:r>
        <w:t>, leaving farmers with minimal agency over pricing or production design. It prioritizes national food security and supply-chain efficiency over bottom-up ecological autonomy.</w:t>
      </w:r>
    </w:p>
    <w:p w14:paraId="5B70703B" w14:textId="77777777" w:rsidR="00FB019D" w:rsidRDefault="00000000">
      <w:pPr>
        <w:pStyle w:val="Heading3"/>
        <w:spacing w:after="320"/>
      </w:pPr>
      <w:r>
        <w:t>Synthesis: What This Tells Us About Policy and Cooperatives</w:t>
      </w:r>
    </w:p>
    <w:p w14:paraId="5B70703C" w14:textId="77777777" w:rsidR="00FB019D" w:rsidRDefault="00000000">
      <w:pPr>
        <w:pBdr>
          <w:top w:val="nil"/>
          <w:left w:val="nil"/>
          <w:bottom w:val="nil"/>
          <w:right w:val="nil"/>
          <w:between w:val="nil"/>
        </w:pBdr>
        <w:spacing w:before="0" w:after="320"/>
        <w:ind w:left="0" w:right="0"/>
        <w:rPr>
          <w:b/>
          <w:bCs/>
        </w:rPr>
      </w:pPr>
      <w:r>
        <w:t xml:space="preserve">Comparing these regions underscores why your concern is completely accurate: </w:t>
      </w:r>
      <w:r>
        <w:rPr>
          <w:b/>
          <w:bCs/>
        </w:rPr>
        <w:t>if a policy framework does not legally position cooperatives as structural market actors, the system defaults to corporate capture.</w:t>
      </w:r>
    </w:p>
    <w:p w14:paraId="5B70703D" w14:textId="77777777" w:rsidR="00FB019D" w:rsidRDefault="00000000">
      <w:pPr>
        <w:numPr>
          <w:ilvl w:val="0"/>
          <w:numId w:val="17"/>
        </w:numPr>
        <w:pBdr>
          <w:top w:val="nil"/>
          <w:left w:val="nil"/>
          <w:bottom w:val="nil"/>
          <w:right w:val="nil"/>
          <w:between w:val="nil"/>
        </w:pBdr>
        <w:spacing w:before="0" w:after="0"/>
        <w:ind w:right="0"/>
      </w:pPr>
      <w:r>
        <w:t xml:space="preserve">In </w:t>
      </w:r>
      <w:r>
        <w:rPr>
          <w:b/>
          <w:bCs/>
        </w:rPr>
        <w:t>East Asia (Korea/Taiwan)</w:t>
      </w:r>
      <w:r>
        <w:t>, cooperatives succeeded because the state treated them as foundational banking and economic infrastructure.</w:t>
      </w:r>
    </w:p>
    <w:p w14:paraId="5B70703E" w14:textId="77777777" w:rsidR="00FB019D" w:rsidRDefault="00000000">
      <w:pPr>
        <w:numPr>
          <w:ilvl w:val="0"/>
          <w:numId w:val="17"/>
        </w:numPr>
        <w:pBdr>
          <w:top w:val="nil"/>
          <w:left w:val="nil"/>
          <w:bottom w:val="nil"/>
          <w:right w:val="nil"/>
          <w:between w:val="nil"/>
        </w:pBdr>
        <w:spacing w:before="0" w:after="0"/>
        <w:ind w:right="0"/>
      </w:pPr>
      <w:r>
        <w:t xml:space="preserve">In </w:t>
      </w:r>
      <w:r>
        <w:rPr>
          <w:b/>
          <w:bCs/>
        </w:rPr>
        <w:t>Latin America</w:t>
      </w:r>
      <w:r>
        <w:t>, they succeed when backed by institutional demand (like public procurement), but struggle when isolated from national budgets.</w:t>
      </w:r>
    </w:p>
    <w:p w14:paraId="5B70703F" w14:textId="77777777" w:rsidR="00FB019D" w:rsidRDefault="00000000">
      <w:pPr>
        <w:numPr>
          <w:ilvl w:val="0"/>
          <w:numId w:val="17"/>
        </w:numPr>
        <w:pBdr>
          <w:top w:val="nil"/>
          <w:left w:val="nil"/>
          <w:bottom w:val="nil"/>
          <w:right w:val="nil"/>
          <w:between w:val="nil"/>
        </w:pBdr>
        <w:spacing w:before="0" w:after="0"/>
        <w:ind w:right="0"/>
      </w:pPr>
      <w:r>
        <w:t xml:space="preserve">In </w:t>
      </w:r>
      <w:r>
        <w:rPr>
          <w:b/>
          <w:bCs/>
        </w:rPr>
        <w:t>China</w:t>
      </w:r>
      <w:r>
        <w:t>, cooperatives act efficiently as scaling pipes for state-capital directives, but often sacrifice smallholder agency.</w:t>
      </w:r>
    </w:p>
    <w:p w14:paraId="5B707040" w14:textId="77777777" w:rsidR="00FB019D" w:rsidRDefault="00000000">
      <w:pPr>
        <w:pBdr>
          <w:top w:val="nil"/>
          <w:left w:val="nil"/>
          <w:bottom w:val="nil"/>
          <w:right w:val="nil"/>
          <w:between w:val="nil"/>
        </w:pBdr>
        <w:spacing w:before="320" w:after="320"/>
        <w:ind w:left="0" w:right="0"/>
      </w:pPr>
      <w:r>
        <w:t>Therefore, for RA to scale equitably in places like Vietnam or Cambodia, national policy cannot just offer "training" to cooperatives; it must legally integrate them into public procurement, provide them with independent financial lines of credit, and protect their governance structures from being hollowed out by midstream buyers.</w:t>
      </w:r>
    </w:p>
    <w:p w14:paraId="5B707041" w14:textId="77777777" w:rsidR="00FB019D" w:rsidRDefault="00000000">
      <w:pPr>
        <w:pBdr>
          <w:top w:val="nil"/>
          <w:left w:val="nil"/>
          <w:bottom w:val="nil"/>
          <w:right w:val="nil"/>
          <w:between w:val="nil"/>
        </w:pBdr>
        <w:spacing w:before="0" w:after="0"/>
        <w:ind w:left="0" w:right="0"/>
      </w:pPr>
      <w:r>
        <w:pict w14:anchorId="5B7072E6">
          <v:rect id="_x0000_i1034" style="width:0;height:1.5pt" o:hralign="center" o:hrstd="t" o:hr="t" fillcolor="#a0a0a0" stroked="f"/>
        </w:pict>
      </w:r>
    </w:p>
    <w:p w14:paraId="5B707042"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Okay so we now partially address Q1 and Q2, right? Sumamrizy the answers and then I go to Q3-Q5</w:t>
      </w:r>
    </w:p>
    <w:p w14:paraId="5B707043"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044" w14:textId="77777777" w:rsidR="00FB019D" w:rsidRDefault="00000000">
      <w:pPr>
        <w:numPr>
          <w:ilvl w:val="0"/>
          <w:numId w:val="19"/>
        </w:numPr>
        <w:pBdr>
          <w:top w:val="nil"/>
          <w:left w:val="nil"/>
          <w:bottom w:val="nil"/>
          <w:right w:val="nil"/>
          <w:between w:val="nil"/>
        </w:pBdr>
        <w:spacing w:before="0" w:after="0"/>
        <w:ind w:right="0"/>
      </w:pPr>
      <w:r>
        <w:rPr>
          <w:i/>
          <w:iCs/>
        </w:rPr>
        <w:t>Q1:</w:t>
      </w:r>
      <w:r>
        <w:t xml:space="preserve"> "How can multi-sectoral governance frameworks (e.g., spanning agriculture, health, trade, and environment ministries) reconcile structural contradictions where conventional input subsidies actively undermine agroecological and regenerative transitions?"</w:t>
      </w:r>
    </w:p>
    <w:p w14:paraId="5B707045" w14:textId="77777777" w:rsidR="00FB019D" w:rsidRDefault="00000000">
      <w:pPr>
        <w:numPr>
          <w:ilvl w:val="0"/>
          <w:numId w:val="19"/>
        </w:numPr>
        <w:pBdr>
          <w:top w:val="nil"/>
          <w:left w:val="nil"/>
          <w:bottom w:val="nil"/>
          <w:right w:val="nil"/>
          <w:between w:val="nil"/>
        </w:pBdr>
        <w:spacing w:before="0" w:after="0"/>
        <w:ind w:right="0"/>
      </w:pPr>
      <w:r>
        <w:rPr>
          <w:i/>
          <w:iCs/>
        </w:rPr>
        <w:t>Q2:</w:t>
      </w:r>
      <w:r>
        <w:t xml:space="preserve"> "To what extent do top-down state-mandated certification schemes (such as national Good Agricultural Practices) act as bureaucratic barriers rather than market enablers for smallholder-dominated value chains, and how can participatory guarantee systems (PGS) be legally institutionalized without losing their grassroots flexibility?"</w:t>
      </w:r>
    </w:p>
    <w:p w14:paraId="5B707046" w14:textId="77777777" w:rsidR="00FB019D" w:rsidRDefault="00000000">
      <w:pPr>
        <w:pStyle w:val="Heading3"/>
        <w:spacing w:after="255"/>
      </w:pPr>
      <w:r>
        <w:lastRenderedPageBreak/>
        <w:t>Summary of Our Discussion on Q1 &amp; Q2</w:t>
      </w:r>
    </w:p>
    <w:p w14:paraId="5B707047" w14:textId="77777777" w:rsidR="00FB019D" w:rsidRDefault="00000000">
      <w:pPr>
        <w:pStyle w:val="Heading4"/>
        <w:spacing w:before="0"/>
      </w:pPr>
      <w:r>
        <w:t>1. Addressing Q1: Multi-Sectoral Governance &amp; Perverse Subsidies</w:t>
      </w:r>
    </w:p>
    <w:p w14:paraId="5B707048" w14:textId="77777777" w:rsidR="00FB019D" w:rsidRDefault="00000000">
      <w:pPr>
        <w:numPr>
          <w:ilvl w:val="0"/>
          <w:numId w:val="20"/>
        </w:numPr>
        <w:pBdr>
          <w:top w:val="nil"/>
          <w:left w:val="nil"/>
          <w:bottom w:val="nil"/>
          <w:right w:val="nil"/>
          <w:between w:val="nil"/>
        </w:pBdr>
        <w:spacing w:before="0" w:after="0"/>
        <w:ind w:right="0"/>
      </w:pPr>
      <w:r>
        <w:rPr>
          <w:b/>
          <w:bCs/>
        </w:rPr>
        <w:t>The Dilemma:</w:t>
      </w:r>
      <w:r>
        <w:t xml:space="preserve"> In contexts where rapid economic growth and short-term agricultural output are prioritized (such as Vietnam), conventional state budgets often continue to fund perverse input subsidies (for chemical fertilizers and pesticides) that directly undermine regenerative agriculture (RA) transitions.</w:t>
      </w:r>
    </w:p>
    <w:p w14:paraId="5B707049" w14:textId="77777777" w:rsidR="00FB019D" w:rsidRDefault="00000000">
      <w:pPr>
        <w:numPr>
          <w:ilvl w:val="0"/>
          <w:numId w:val="20"/>
        </w:numPr>
        <w:pBdr>
          <w:top w:val="nil"/>
          <w:left w:val="nil"/>
          <w:bottom w:val="nil"/>
          <w:right w:val="nil"/>
          <w:between w:val="nil"/>
        </w:pBdr>
        <w:spacing w:before="0" w:after="0"/>
        <w:ind w:right="0"/>
      </w:pPr>
      <w:r>
        <w:rPr>
          <w:b/>
          <w:bCs/>
        </w:rPr>
        <w:t>The Solution/Governance Shift:</w:t>
      </w:r>
      <w:r>
        <w:t xml:space="preserve"> Reconciling these contradictions requires elevating RA and resilience into a national economic security and risk-mitigation strategy. Governments must use horizontal coordination bodies (like CARD in Cambodia) to phase out extractive subsidies and reallocate fiscal resources toward RA public goods—such as decentralized bio-input enterprises, testing laboratories, and transition risk-sharing mechanisms.</w:t>
      </w:r>
    </w:p>
    <w:p w14:paraId="5B70704A" w14:textId="77777777" w:rsidR="00FB019D" w:rsidRDefault="00000000">
      <w:pPr>
        <w:pStyle w:val="Heading4"/>
      </w:pPr>
      <w:r>
        <w:t>2. Addressing Q2: Certification Barriers vs. Cooperative Infrastructure</w:t>
      </w:r>
    </w:p>
    <w:p w14:paraId="5B70704B" w14:textId="77777777" w:rsidR="00FB019D" w:rsidRDefault="00000000">
      <w:pPr>
        <w:numPr>
          <w:ilvl w:val="0"/>
          <w:numId w:val="21"/>
        </w:numPr>
        <w:pBdr>
          <w:top w:val="nil"/>
          <w:left w:val="nil"/>
          <w:bottom w:val="nil"/>
          <w:right w:val="nil"/>
          <w:between w:val="nil"/>
        </w:pBdr>
        <w:spacing w:before="0" w:after="0"/>
        <w:ind w:right="0"/>
      </w:pPr>
      <w:r>
        <w:rPr>
          <w:b/>
          <w:bCs/>
        </w:rPr>
        <w:t>The Exclusion Paradox:</w:t>
      </w:r>
      <w:r>
        <w:t xml:space="preserve"> Standard policy instruments (like top-down national GAP standards or elite ESG mandates) frequently act as bureaucratic barriers rather than market enablers. Because smallholders cannot independently absorb high certification and auditing costs, these frameworks actively exclude them and reinforce midstream corporate capture.</w:t>
      </w:r>
    </w:p>
    <w:p w14:paraId="5B70704C" w14:textId="77777777" w:rsidR="00FB019D" w:rsidRDefault="00000000">
      <w:pPr>
        <w:numPr>
          <w:ilvl w:val="0"/>
          <w:numId w:val="21"/>
        </w:numPr>
        <w:pBdr>
          <w:top w:val="nil"/>
          <w:left w:val="nil"/>
          <w:bottom w:val="nil"/>
          <w:right w:val="nil"/>
          <w:between w:val="nil"/>
        </w:pBdr>
        <w:spacing w:before="0" w:after="0"/>
        <w:ind w:right="0"/>
      </w:pPr>
      <w:r>
        <w:rPr>
          <w:b/>
          <w:bCs/>
        </w:rPr>
        <w:t>Global Comparative Lessons &amp; Cooperative Solutions:</w:t>
      </w:r>
    </w:p>
    <w:p w14:paraId="5B70704D" w14:textId="77777777" w:rsidR="00FB019D" w:rsidRDefault="00000000">
      <w:pPr>
        <w:numPr>
          <w:ilvl w:val="1"/>
          <w:numId w:val="22"/>
        </w:numPr>
        <w:pBdr>
          <w:top w:val="nil"/>
          <w:left w:val="nil"/>
          <w:bottom w:val="nil"/>
          <w:right w:val="nil"/>
          <w:between w:val="nil"/>
        </w:pBdr>
        <w:spacing w:before="0" w:after="0"/>
        <w:ind w:right="0"/>
      </w:pPr>
      <w:r>
        <w:rPr>
          <w:i/>
          <w:iCs/>
        </w:rPr>
        <w:t>East Asia (South Korea/Taiwan):</w:t>
      </w:r>
      <w:r>
        <w:t xml:space="preserve"> Demonstrated that cooperatives can succeed when the state legally positions them as foundational national economic and financial infrastructure (serving as the sole pipeline for credit, inputs, and marketing).</w:t>
      </w:r>
    </w:p>
    <w:p w14:paraId="5B70704E" w14:textId="77777777" w:rsidR="00FB019D" w:rsidRDefault="00000000">
      <w:pPr>
        <w:numPr>
          <w:ilvl w:val="1"/>
          <w:numId w:val="22"/>
        </w:numPr>
        <w:pBdr>
          <w:top w:val="nil"/>
          <w:left w:val="nil"/>
          <w:bottom w:val="nil"/>
          <w:right w:val="nil"/>
          <w:between w:val="nil"/>
        </w:pBdr>
        <w:spacing w:before="0" w:after="0"/>
        <w:ind w:right="0"/>
      </w:pPr>
      <w:r>
        <w:rPr>
          <w:i/>
          <w:iCs/>
        </w:rPr>
        <w:t>Latin America:</w:t>
      </w:r>
      <w:r>
        <w:t xml:space="preserve"> Showed the power of institutional demand policies (like public procurement quotas) combined with grassroots tools like Participatory Guarantee Systems (PGS).</w:t>
      </w:r>
    </w:p>
    <w:p w14:paraId="5B70704F" w14:textId="77777777" w:rsidR="00FB019D" w:rsidRDefault="00000000">
      <w:pPr>
        <w:numPr>
          <w:ilvl w:val="1"/>
          <w:numId w:val="22"/>
        </w:numPr>
        <w:pBdr>
          <w:top w:val="nil"/>
          <w:left w:val="nil"/>
          <w:bottom w:val="nil"/>
          <w:right w:val="nil"/>
          <w:between w:val="nil"/>
        </w:pBdr>
        <w:spacing w:before="0" w:after="0"/>
        <w:ind w:right="0"/>
      </w:pPr>
      <w:r>
        <w:rPr>
          <w:i/>
          <w:iCs/>
        </w:rPr>
        <w:t>The Takeaway:</w:t>
      </w:r>
      <w:r>
        <w:t xml:space="preserve"> To prevent co-optation and ensure equitable distribution, national policies cannot treat cooperatives as temporary project beneficiaries. Instead, they must legally enshrine cooperative-led aggregation, group certification, and PGS as permanent public-interest market infrastructure.</w:t>
      </w:r>
    </w:p>
    <w:p w14:paraId="5B707050" w14:textId="77777777" w:rsidR="00FB019D" w:rsidRDefault="00000000">
      <w:pPr>
        <w:pBdr>
          <w:top w:val="nil"/>
          <w:left w:val="nil"/>
          <w:bottom w:val="nil"/>
          <w:right w:val="nil"/>
          <w:between w:val="nil"/>
        </w:pBdr>
        <w:spacing w:before="320" w:after="320"/>
        <w:ind w:left="0" w:right="0"/>
      </w:pPr>
      <w:r>
        <w:t xml:space="preserve">Whenever you are ready, please present your thoughts or questions for </w:t>
      </w:r>
      <w:r>
        <w:rPr>
          <w:b/>
          <w:bCs/>
        </w:rPr>
        <w:t>Q3 to Q5</w:t>
      </w:r>
      <w:r>
        <w:t>!</w:t>
      </w:r>
    </w:p>
    <w:p w14:paraId="5B707051" w14:textId="77777777" w:rsidR="00FB019D" w:rsidRDefault="00000000">
      <w:pPr>
        <w:pBdr>
          <w:top w:val="nil"/>
          <w:left w:val="nil"/>
          <w:bottom w:val="nil"/>
          <w:right w:val="nil"/>
          <w:between w:val="nil"/>
        </w:pBdr>
        <w:spacing w:before="0" w:after="0"/>
        <w:ind w:left="0" w:right="0"/>
      </w:pPr>
      <w:r>
        <w:pict w14:anchorId="5B7072E7">
          <v:rect id="_x0000_i1035" style="width:0;height:1.5pt" o:hralign="center" o:hrstd="t" o:hr="t" fillcolor="#a0a0a0" stroked="f"/>
        </w:pict>
      </w:r>
    </w:p>
    <w:p w14:paraId="5B707052"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Q3: Yes, ASEAN can play a role. There have been strategy and plan (please check them) on scaling sustainable agriculture. Also program like ASEAN-CGIAR. However, as due to national sovereignty, each country have to determine their own policy and implementation. What we should promote is a region-wide movement to support institutionalizating and empowering smallholders and cooperatives, while strengthening market demands (both export and domestic) 4. I'm not very familiar with school feeding but yes, there should be reforms and investments. 5. We have mentioned many policies, but how to design and implement the "policy mixes" is difficult and complicated.</w:t>
      </w:r>
    </w:p>
    <w:p w14:paraId="5B707053"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054" w14:textId="77777777" w:rsidR="00FB019D" w:rsidRDefault="00000000">
      <w:pPr>
        <w:numPr>
          <w:ilvl w:val="0"/>
          <w:numId w:val="23"/>
        </w:numPr>
        <w:pBdr>
          <w:top w:val="nil"/>
          <w:left w:val="nil"/>
          <w:bottom w:val="nil"/>
          <w:right w:val="nil"/>
          <w:between w:val="nil"/>
        </w:pBdr>
        <w:spacing w:before="0" w:after="0"/>
        <w:ind w:right="0"/>
      </w:pPr>
      <w:r>
        <w:rPr>
          <w:i/>
          <w:iCs/>
        </w:rPr>
        <w:t>Q3:</w:t>
      </w:r>
      <w:r>
        <w:t xml:space="preserve"> "In regional trading blocs like ASEAN, how can mutual recognition agreements for sustainable production standards be operationalized to prevent technical trade barriers while protecting domestic producers from uneven compliance costs?"</w:t>
      </w:r>
    </w:p>
    <w:p w14:paraId="5B707055" w14:textId="77777777" w:rsidR="00FB019D" w:rsidRDefault="00000000">
      <w:pPr>
        <w:numPr>
          <w:ilvl w:val="0"/>
          <w:numId w:val="23"/>
        </w:numPr>
        <w:pBdr>
          <w:top w:val="nil"/>
          <w:left w:val="nil"/>
          <w:bottom w:val="nil"/>
          <w:right w:val="nil"/>
          <w:between w:val="nil"/>
        </w:pBdr>
        <w:spacing w:before="0" w:after="0"/>
        <w:ind w:right="0"/>
      </w:pPr>
      <w:r>
        <w:rPr>
          <w:i/>
          <w:iCs/>
        </w:rPr>
        <w:t>Q4:</w:t>
      </w:r>
      <w:r>
        <w:t xml:space="preserve"> "What regulatory reforms and fiscal flexibilities are required to transform national school feeding and public food procurement programs into stable, long-term market anchors for localized </w:t>
      </w:r>
      <w:r>
        <w:lastRenderedPageBreak/>
        <w:t>regenerative agri-food products?"</w:t>
      </w:r>
    </w:p>
    <w:p w14:paraId="5B707056" w14:textId="77777777" w:rsidR="00FB019D" w:rsidRDefault="00000000">
      <w:pPr>
        <w:numPr>
          <w:ilvl w:val="0"/>
          <w:numId w:val="23"/>
        </w:numPr>
        <w:pBdr>
          <w:top w:val="nil"/>
          <w:left w:val="nil"/>
          <w:bottom w:val="nil"/>
          <w:right w:val="nil"/>
          <w:between w:val="nil"/>
        </w:pBdr>
        <w:spacing w:before="0" w:after="0"/>
        <w:ind w:right="0"/>
      </w:pPr>
      <w:r>
        <w:rPr>
          <w:i/>
          <w:iCs/>
        </w:rPr>
        <w:t>Q5:</w:t>
      </w:r>
      <w:r>
        <w:t xml:space="preserve"> "How can policy mixes effectively deploy elements of 'creative destruction'—simultaneously withdrawing support for input-intensive, extractive production models while protecting vulnerable smallholders during the multi-year transition phase?"</w:t>
      </w:r>
    </w:p>
    <w:p w14:paraId="5B707057" w14:textId="77777777" w:rsidR="00FB019D" w:rsidRDefault="00000000">
      <w:pPr>
        <w:pStyle w:val="Heading3"/>
        <w:spacing w:after="320"/>
      </w:pPr>
      <w:r>
        <w:t>Expert Critique &amp; Systems-Thinking Analysis</w:t>
      </w:r>
    </w:p>
    <w:p w14:paraId="5B707058" w14:textId="77777777" w:rsidR="00FB019D" w:rsidRDefault="00000000">
      <w:pPr>
        <w:pBdr>
          <w:top w:val="nil"/>
          <w:left w:val="nil"/>
          <w:bottom w:val="nil"/>
          <w:right w:val="nil"/>
          <w:between w:val="nil"/>
        </w:pBdr>
        <w:spacing w:before="0" w:after="320"/>
        <w:ind w:left="0" w:right="0"/>
      </w:pPr>
      <w:r>
        <w:t xml:space="preserve">Your insights on </w:t>
      </w:r>
      <w:r>
        <w:rPr>
          <w:b/>
          <w:bCs/>
        </w:rPr>
        <w:t>Q3, Q4, and Q5</w:t>
      </w:r>
      <w:r>
        <w:t xml:space="preserve"> pinpoint the pragmatic limits and political realities of agri-food policy in Southeast Asia. Let's break down each point through an analytical, systems-thinking lens:</w:t>
      </w:r>
    </w:p>
    <w:p w14:paraId="5B707059" w14:textId="77777777" w:rsidR="00FB019D" w:rsidRDefault="00000000">
      <w:pPr>
        <w:pStyle w:val="Heading3"/>
        <w:spacing w:before="0"/>
      </w:pPr>
      <w:r>
        <w:t>1. Addressing Q3: Regional Frameworks vs. National Sovereignty in ASEAN</w:t>
      </w:r>
    </w:p>
    <w:p w14:paraId="5B70705A" w14:textId="77777777" w:rsidR="00FB019D" w:rsidRDefault="00000000">
      <w:pPr>
        <w:numPr>
          <w:ilvl w:val="0"/>
          <w:numId w:val="24"/>
        </w:numPr>
        <w:pBdr>
          <w:top w:val="nil"/>
          <w:left w:val="nil"/>
          <w:bottom w:val="nil"/>
          <w:right w:val="nil"/>
          <w:between w:val="nil"/>
        </w:pBdr>
        <w:spacing w:before="0" w:after="0"/>
        <w:ind w:right="0"/>
      </w:pPr>
      <w:r>
        <w:rPr>
          <w:b/>
          <w:bCs/>
        </w:rPr>
        <w:t>Your Point:</w:t>
      </w:r>
      <w:r>
        <w:t xml:space="preserve"> ASEAN policies/frameworks (such as the </w:t>
      </w:r>
      <w:r>
        <w:rPr>
          <w:i/>
          <w:iCs/>
        </w:rPr>
        <w:t>Action Plan for Sustainable Agriculture in ASEAN</w:t>
      </w:r>
      <w:r>
        <w:t xml:space="preserve"> or regional programs like </w:t>
      </w:r>
      <w:r>
        <w:rPr>
          <w:i/>
          <w:iCs/>
        </w:rPr>
        <w:t>ASEAN-CGIAR Innovate for Food and Nutrition Security</w:t>
      </w:r>
      <w:r>
        <w:t>) provide strategic direction, but because ASEAN operates on strict consensus and national sovereignty, implementation rests entirely on individual member states. The focus should be a region-wide movement to empower smallholder cooperatives while building both domestic and export market demand.</w:t>
      </w:r>
    </w:p>
    <w:p w14:paraId="5B70705B" w14:textId="77777777" w:rsidR="00FB019D" w:rsidRDefault="00000000">
      <w:pPr>
        <w:numPr>
          <w:ilvl w:val="0"/>
          <w:numId w:val="24"/>
        </w:numPr>
        <w:pBdr>
          <w:top w:val="nil"/>
          <w:left w:val="nil"/>
          <w:bottom w:val="nil"/>
          <w:right w:val="nil"/>
          <w:between w:val="nil"/>
        </w:pBdr>
        <w:spacing w:before="0" w:after="0"/>
        <w:ind w:right="0"/>
      </w:pPr>
      <w:r>
        <w:rPr>
          <w:b/>
          <w:bCs/>
        </w:rPr>
        <w:t>Critique &amp; Systems Analysis:</w:t>
      </w:r>
    </w:p>
    <w:p w14:paraId="5B70705C" w14:textId="77777777" w:rsidR="00FB019D" w:rsidRDefault="00000000">
      <w:pPr>
        <w:numPr>
          <w:ilvl w:val="1"/>
          <w:numId w:val="25"/>
        </w:numPr>
        <w:pBdr>
          <w:top w:val="nil"/>
          <w:left w:val="nil"/>
          <w:bottom w:val="nil"/>
          <w:right w:val="nil"/>
          <w:between w:val="nil"/>
        </w:pBdr>
        <w:spacing w:before="0" w:after="0"/>
        <w:ind w:right="0"/>
      </w:pPr>
      <w:r>
        <w:t>You hit on the exact structural characteristic of ASEAN governance: it relies on "soft law" and non-binding roadmaps. Consequently, top-down regional mandates rarely succeed in forcing national policy changes.</w:t>
      </w:r>
    </w:p>
    <w:p w14:paraId="5B70705D" w14:textId="77777777" w:rsidR="00FB019D" w:rsidRDefault="00000000">
      <w:pPr>
        <w:numPr>
          <w:ilvl w:val="1"/>
          <w:numId w:val="25"/>
        </w:numPr>
        <w:pBdr>
          <w:top w:val="nil"/>
          <w:left w:val="nil"/>
          <w:bottom w:val="nil"/>
          <w:right w:val="nil"/>
          <w:between w:val="nil"/>
        </w:pBdr>
        <w:spacing w:before="0" w:after="0"/>
        <w:ind w:right="0"/>
      </w:pPr>
      <w:r>
        <w:t xml:space="preserve">Instead, a regional bloc like ASEAN creates value by acting as a </w:t>
      </w:r>
      <w:r>
        <w:rPr>
          <w:b/>
          <w:bCs/>
        </w:rPr>
        <w:t>norm-setting, benchmarking, and market-facilitating platform</w:t>
      </w:r>
      <w:r>
        <w:t>. Regional initiatives (such as ASEAN-CGIAR IP1+) achieve scale by:</w:t>
      </w:r>
    </w:p>
    <w:p w14:paraId="5B70705E" w14:textId="77777777" w:rsidR="00FB019D" w:rsidRDefault="00000000">
      <w:pPr>
        <w:numPr>
          <w:ilvl w:val="2"/>
          <w:numId w:val="26"/>
        </w:numPr>
        <w:pBdr>
          <w:top w:val="nil"/>
          <w:left w:val="nil"/>
          <w:bottom w:val="nil"/>
          <w:right w:val="nil"/>
          <w:between w:val="nil"/>
        </w:pBdr>
        <w:spacing w:before="0" w:after="0"/>
        <w:ind w:right="0"/>
      </w:pPr>
      <w:r>
        <w:rPr>
          <w:b/>
          <w:bCs/>
        </w:rPr>
        <w:t>Lowering Harmonization Costs:</w:t>
      </w:r>
      <w:r>
        <w:t xml:space="preserve"> Developing regional guidelines or mutual recognition frameworks for standards (e.g., aligning CamGAP or VietGAP towards ASEAN GAP) so that certified smallholders can access cross-border regional markets without undergoing duplicate, expensive compliance audits.</w:t>
      </w:r>
    </w:p>
    <w:p w14:paraId="5B70705F" w14:textId="77777777" w:rsidR="00FB019D" w:rsidRDefault="00000000">
      <w:pPr>
        <w:numPr>
          <w:ilvl w:val="2"/>
          <w:numId w:val="26"/>
        </w:numPr>
        <w:pBdr>
          <w:top w:val="nil"/>
          <w:left w:val="nil"/>
          <w:bottom w:val="nil"/>
          <w:right w:val="nil"/>
          <w:between w:val="nil"/>
        </w:pBdr>
        <w:spacing w:before="0" w:after="0"/>
        <w:ind w:right="0"/>
      </w:pPr>
      <w:r>
        <w:rPr>
          <w:b/>
          <w:bCs/>
        </w:rPr>
        <w:t>Peer Learning &amp; Political Cover:</w:t>
      </w:r>
      <w:r>
        <w:t xml:space="preserve"> Creating regional momentum that allows national ministries (like MAE in Vietnam or MAFF/CARD in Cambodia) to justify domestic budget reallocations for cooperative building and green transition finance under the banner of regional competitiveness.</w:t>
      </w:r>
    </w:p>
    <w:p w14:paraId="5B707060" w14:textId="77777777" w:rsidR="00FB019D" w:rsidRDefault="00000000">
      <w:pPr>
        <w:pStyle w:val="Heading3"/>
      </w:pPr>
      <w:r>
        <w:t>2. Addressing Q4: Reforming Public Procurement and School Feeding</w:t>
      </w:r>
    </w:p>
    <w:p w14:paraId="5B707061" w14:textId="77777777" w:rsidR="00FB019D" w:rsidRDefault="00000000">
      <w:pPr>
        <w:numPr>
          <w:ilvl w:val="0"/>
          <w:numId w:val="27"/>
        </w:numPr>
        <w:pBdr>
          <w:top w:val="nil"/>
          <w:left w:val="nil"/>
          <w:bottom w:val="nil"/>
          <w:right w:val="nil"/>
          <w:between w:val="nil"/>
        </w:pBdr>
        <w:spacing w:before="0" w:after="0"/>
        <w:ind w:right="0"/>
      </w:pPr>
      <w:r>
        <w:rPr>
          <w:b/>
          <w:bCs/>
        </w:rPr>
        <w:t>Your Point:</w:t>
      </w:r>
      <w:r>
        <w:t xml:space="preserve"> While school feeding programs require significant reform and long-term fiscal investment to serve as stable market anchors, they represent a critical institutional demand tool.</w:t>
      </w:r>
    </w:p>
    <w:p w14:paraId="5B707062" w14:textId="77777777" w:rsidR="00FB019D" w:rsidRDefault="00000000">
      <w:pPr>
        <w:numPr>
          <w:ilvl w:val="0"/>
          <w:numId w:val="27"/>
        </w:numPr>
        <w:pBdr>
          <w:top w:val="nil"/>
          <w:left w:val="nil"/>
          <w:bottom w:val="nil"/>
          <w:right w:val="nil"/>
          <w:between w:val="nil"/>
        </w:pBdr>
        <w:spacing w:before="0" w:after="0"/>
        <w:ind w:right="0"/>
      </w:pPr>
      <w:r>
        <w:rPr>
          <w:b/>
          <w:bCs/>
        </w:rPr>
        <w:t>Critique &amp; Systems Analysis:</w:t>
      </w:r>
    </w:p>
    <w:p w14:paraId="5B707063" w14:textId="77777777" w:rsidR="00FB019D" w:rsidRDefault="00000000">
      <w:pPr>
        <w:numPr>
          <w:ilvl w:val="1"/>
          <w:numId w:val="28"/>
        </w:numPr>
        <w:pBdr>
          <w:top w:val="nil"/>
          <w:left w:val="nil"/>
          <w:bottom w:val="nil"/>
          <w:right w:val="nil"/>
          <w:between w:val="nil"/>
        </w:pBdr>
        <w:spacing w:before="0" w:after="0"/>
        <w:ind w:right="0"/>
      </w:pPr>
      <w:r>
        <w:t xml:space="preserve">Public food procurement is unique because it is the </w:t>
      </w:r>
      <w:r>
        <w:rPr>
          <w:b/>
          <w:bCs/>
        </w:rPr>
        <w:t>only market mechanism that acts on both value recognition and value capture simultaneously</w:t>
      </w:r>
      <w:r>
        <w:t xml:space="preserve">. In home-grown school feeding models (such as Cambodia’s </w:t>
      </w:r>
      <w:r>
        <w:rPr>
          <w:i/>
          <w:iCs/>
        </w:rPr>
        <w:t>National Homegrown School Feeding Programme</w:t>
      </w:r>
      <w:r>
        <w:t>, supported by MoEYS, CARD, KOICA, and WFP), the buyer is a state institution rather than a price-sensitive household.</w:t>
      </w:r>
    </w:p>
    <w:p w14:paraId="5B707064" w14:textId="77777777" w:rsidR="00FB019D" w:rsidRDefault="00000000">
      <w:pPr>
        <w:numPr>
          <w:ilvl w:val="1"/>
          <w:numId w:val="28"/>
        </w:numPr>
        <w:pBdr>
          <w:top w:val="nil"/>
          <w:left w:val="nil"/>
          <w:bottom w:val="nil"/>
          <w:right w:val="nil"/>
          <w:between w:val="nil"/>
        </w:pBdr>
        <w:spacing w:before="0" w:after="0"/>
        <w:ind w:right="0"/>
      </w:pPr>
      <w:r>
        <w:rPr>
          <w:b/>
          <w:bCs/>
        </w:rPr>
        <w:t>The Structural Reform Needed:</w:t>
      </w:r>
      <w:r>
        <w:t xml:space="preserve"> As highlighted in our earlier scoping work, school feeding programs in LMICs often prioritize cost and basic calorie delivery over sustainability mandates due to tight budgetary constraints.</w:t>
      </w:r>
    </w:p>
    <w:p w14:paraId="5B707065" w14:textId="77777777" w:rsidR="00FB019D" w:rsidRDefault="00000000">
      <w:pPr>
        <w:numPr>
          <w:ilvl w:val="1"/>
          <w:numId w:val="28"/>
        </w:numPr>
        <w:pBdr>
          <w:top w:val="nil"/>
          <w:left w:val="nil"/>
          <w:bottom w:val="nil"/>
          <w:right w:val="nil"/>
          <w:between w:val="nil"/>
        </w:pBdr>
        <w:spacing w:before="0" w:after="0"/>
        <w:ind w:right="0"/>
      </w:pPr>
      <w:r>
        <w:rPr>
          <w:b/>
          <w:bCs/>
        </w:rPr>
        <w:t>The Pragmatic Step:</w:t>
      </w:r>
      <w:r>
        <w:t xml:space="preserve"> Rather than immediately requiring strict, expensive third-party "regenerative" certification for school caterers (which smallholders cannot supply), procurement rules should incrementally integrate </w:t>
      </w:r>
      <w:r>
        <w:rPr>
          <w:b/>
          <w:bCs/>
        </w:rPr>
        <w:t xml:space="preserve">food safety, pesticide-residue </w:t>
      </w:r>
      <w:r>
        <w:rPr>
          <w:b/>
          <w:bCs/>
        </w:rPr>
        <w:lastRenderedPageBreak/>
        <w:t>compliance, and local cooperative sourcing quotas</w:t>
      </w:r>
      <w:r>
        <w:t>. This creates guaranteed institutional demand that de-risks the transition for local smallholders.</w:t>
      </w:r>
    </w:p>
    <w:p w14:paraId="5B707066" w14:textId="77777777" w:rsidR="00FB019D" w:rsidRDefault="00000000">
      <w:pPr>
        <w:pStyle w:val="Heading3"/>
      </w:pPr>
      <w:r>
        <w:t>3. Addressing Q5: The Complexity of Designing and Implementing "Policy Mixes"</w:t>
      </w:r>
    </w:p>
    <w:p w14:paraId="5B707067" w14:textId="77777777" w:rsidR="00FB019D" w:rsidRDefault="00000000">
      <w:pPr>
        <w:numPr>
          <w:ilvl w:val="0"/>
          <w:numId w:val="29"/>
        </w:numPr>
        <w:pBdr>
          <w:top w:val="nil"/>
          <w:left w:val="nil"/>
          <w:bottom w:val="nil"/>
          <w:right w:val="nil"/>
          <w:between w:val="nil"/>
        </w:pBdr>
        <w:spacing w:before="0" w:after="0"/>
        <w:ind w:right="0"/>
      </w:pPr>
      <w:r>
        <w:rPr>
          <w:b/>
          <w:bCs/>
        </w:rPr>
        <w:t>Your Point:</w:t>
      </w:r>
      <w:r>
        <w:t xml:space="preserve"> We have numerous policy tools (taxes, subsidies, GAP standards, ESG, credit lines), but designing and operationalizing effective "policy mixes" in real-world governance is exceptionally difficult.</w:t>
      </w:r>
    </w:p>
    <w:p w14:paraId="5B707068" w14:textId="77777777" w:rsidR="00FB019D" w:rsidRDefault="00000000">
      <w:pPr>
        <w:numPr>
          <w:ilvl w:val="0"/>
          <w:numId w:val="29"/>
        </w:numPr>
        <w:pBdr>
          <w:top w:val="nil"/>
          <w:left w:val="nil"/>
          <w:bottom w:val="nil"/>
          <w:right w:val="nil"/>
          <w:between w:val="nil"/>
        </w:pBdr>
        <w:spacing w:before="0" w:after="0"/>
        <w:ind w:right="0"/>
      </w:pPr>
      <w:r>
        <w:rPr>
          <w:b/>
          <w:bCs/>
        </w:rPr>
        <w:t>Critique &amp; Systems Analysis:</w:t>
      </w:r>
    </w:p>
    <w:p w14:paraId="5B707069" w14:textId="77777777" w:rsidR="00FB019D" w:rsidRDefault="00000000">
      <w:pPr>
        <w:numPr>
          <w:ilvl w:val="1"/>
          <w:numId w:val="30"/>
        </w:numPr>
        <w:pBdr>
          <w:top w:val="nil"/>
          <w:left w:val="nil"/>
          <w:bottom w:val="nil"/>
          <w:right w:val="nil"/>
          <w:between w:val="nil"/>
        </w:pBdr>
        <w:spacing w:before="0" w:after="0"/>
        <w:ind w:right="0"/>
      </w:pPr>
      <w:r>
        <w:t xml:space="preserve">Transition literature (e.g., Kern et al., 2019; Kivimaa &amp; Kern, 2016) underscores that policy failure rarely stems from a lack of individual instruments; it stems from </w:t>
      </w:r>
      <w:r>
        <w:rPr>
          <w:b/>
          <w:bCs/>
        </w:rPr>
        <w:t>policy incoherence and instrument friction</w:t>
      </w:r>
      <w:r>
        <w:t>.</w:t>
      </w:r>
    </w:p>
    <w:p w14:paraId="5B70706A" w14:textId="77777777" w:rsidR="00FB019D" w:rsidRDefault="00000000">
      <w:pPr>
        <w:numPr>
          <w:ilvl w:val="1"/>
          <w:numId w:val="30"/>
        </w:numPr>
        <w:pBdr>
          <w:top w:val="nil"/>
          <w:left w:val="nil"/>
          <w:bottom w:val="nil"/>
          <w:right w:val="nil"/>
          <w:between w:val="nil"/>
        </w:pBdr>
        <w:spacing w:before="0" w:after="0"/>
        <w:ind w:right="0"/>
      </w:pPr>
      <w:r>
        <w:t xml:space="preserve">In agriculture, policy mixes fail when </w:t>
      </w:r>
      <w:r>
        <w:rPr>
          <w:b/>
          <w:bCs/>
        </w:rPr>
        <w:t>enabling policies</w:t>
      </w:r>
      <w:r>
        <w:t xml:space="preserve"> (e.g., training on bio-inputs or cover crop seed networks) are overwhelmed by </w:t>
      </w:r>
      <w:r>
        <w:rPr>
          <w:b/>
          <w:bCs/>
        </w:rPr>
        <w:t>incumbent support policies</w:t>
      </w:r>
      <w:r>
        <w:t xml:space="preserve"> (e.g., heavy state subsidies for chemical nitrogen fertilizers or credit tied strictly to chemical-intensive monocultures).</w:t>
      </w:r>
    </w:p>
    <w:p w14:paraId="5B70706B" w14:textId="77777777" w:rsidR="00FB019D" w:rsidRDefault="00000000">
      <w:pPr>
        <w:numPr>
          <w:ilvl w:val="1"/>
          <w:numId w:val="30"/>
        </w:numPr>
        <w:pBdr>
          <w:top w:val="nil"/>
          <w:left w:val="nil"/>
          <w:bottom w:val="nil"/>
          <w:right w:val="nil"/>
          <w:between w:val="nil"/>
        </w:pBdr>
        <w:spacing w:before="0" w:after="0"/>
        <w:ind w:right="0"/>
      </w:pPr>
      <w:r>
        <w:rPr>
          <w:b/>
          <w:bCs/>
        </w:rPr>
        <w:t>How to Design Actionable Policy Mixes:</w:t>
      </w:r>
      <w:r>
        <w:t xml:space="preserve"> Effective mixes require combining </w:t>
      </w:r>
      <w:r>
        <w:rPr>
          <w:b/>
          <w:bCs/>
        </w:rPr>
        <w:t>support/push measures</w:t>
      </w:r>
      <w:r>
        <w:t xml:space="preserve"> with </w:t>
      </w:r>
      <w:r>
        <w:rPr>
          <w:b/>
          <w:bCs/>
        </w:rPr>
        <w:t>destabilizing/pull measures</w:t>
      </w:r>
      <w:r>
        <w:t xml:space="preserve"> in a synchronized sequence:</w:t>
      </w:r>
    </w:p>
    <w:p w14:paraId="5B70706C" w14:textId="77777777" w:rsidR="00FB019D" w:rsidRDefault="00000000">
      <w:pPr>
        <w:numPr>
          <w:ilvl w:val="2"/>
          <w:numId w:val="31"/>
        </w:numPr>
        <w:pBdr>
          <w:top w:val="nil"/>
          <w:left w:val="nil"/>
          <w:bottom w:val="nil"/>
          <w:right w:val="nil"/>
          <w:between w:val="nil"/>
        </w:pBdr>
        <w:spacing w:before="0" w:after="0"/>
        <w:ind w:right="0"/>
      </w:pPr>
      <w:r>
        <w:rPr>
          <w:i/>
          <w:iCs/>
        </w:rPr>
        <w:t>Phase 1 (De-risking &amp; Capacity):</w:t>
      </w:r>
      <w:r>
        <w:t xml:space="preserve"> Provide transition insurance, subsidized bio-inputs, and extension through cooperatives </w:t>
      </w:r>
      <w:r>
        <w:rPr>
          <w:i/>
          <w:iCs/>
        </w:rPr>
        <w:t>before</w:t>
      </w:r>
      <w:r>
        <w:t xml:space="preserve"> penalizing conventional methods.</w:t>
      </w:r>
    </w:p>
    <w:p w14:paraId="5B70706D" w14:textId="77777777" w:rsidR="00FB019D" w:rsidRDefault="00000000">
      <w:pPr>
        <w:numPr>
          <w:ilvl w:val="2"/>
          <w:numId w:val="31"/>
        </w:numPr>
        <w:pBdr>
          <w:top w:val="nil"/>
          <w:left w:val="nil"/>
          <w:bottom w:val="nil"/>
          <w:right w:val="nil"/>
          <w:between w:val="nil"/>
        </w:pBdr>
        <w:spacing w:before="0" w:after="0"/>
        <w:ind w:right="0"/>
      </w:pPr>
      <w:r>
        <w:rPr>
          <w:i/>
          <w:iCs/>
        </w:rPr>
        <w:t>Phase 2 (Credible Signaling &amp; Market Pull):</w:t>
      </w:r>
      <w:r>
        <w:t xml:space="preserve"> Establish low-cost verification (e.g., PGS or streamlined CamGAP) paired with institutional procurement (school meals, state hospitals) to guarantee off-take.</w:t>
      </w:r>
    </w:p>
    <w:p w14:paraId="5B70706E" w14:textId="77777777" w:rsidR="00FB019D" w:rsidRDefault="00000000">
      <w:pPr>
        <w:numPr>
          <w:ilvl w:val="2"/>
          <w:numId w:val="31"/>
        </w:numPr>
        <w:pBdr>
          <w:top w:val="nil"/>
          <w:left w:val="nil"/>
          <w:bottom w:val="nil"/>
          <w:right w:val="nil"/>
          <w:between w:val="nil"/>
        </w:pBdr>
        <w:spacing w:before="0" w:after="0"/>
        <w:ind w:right="0"/>
      </w:pPr>
      <w:r>
        <w:rPr>
          <w:i/>
          <w:iCs/>
        </w:rPr>
        <w:t>Phase 3 (Phasing out Perverse Incentives):</w:t>
      </w:r>
      <w:r>
        <w:t xml:space="preserve"> Gradually sunset chemical subsidies or impose environmental levies on hazardous pesticides, reallocating those exact tax revenues into the public cooperative transition fund.</w:t>
      </w:r>
    </w:p>
    <w:p w14:paraId="5B70706F" w14:textId="77777777" w:rsidR="00FB019D" w:rsidRDefault="00000000">
      <w:pPr>
        <w:pStyle w:val="Heading3"/>
        <w:spacing w:after="320"/>
      </w:pPr>
      <w:r>
        <w:t>Summary of Progress Across Questions</w:t>
      </w:r>
    </w:p>
    <w:p w14:paraId="5B707070" w14:textId="77777777" w:rsidR="00FB019D" w:rsidRDefault="00000000">
      <w:pPr>
        <w:pBdr>
          <w:top w:val="nil"/>
          <w:left w:val="nil"/>
          <w:bottom w:val="nil"/>
          <w:right w:val="nil"/>
          <w:between w:val="nil"/>
        </w:pBdr>
        <w:spacing w:before="0" w:after="320"/>
        <w:ind w:left="0" w:right="0"/>
      </w:pPr>
      <w:r>
        <w:t xml:space="preserve">We have now critically analyzed the core dilemmas in </w:t>
      </w:r>
      <w:r>
        <w:rPr>
          <w:b/>
          <w:bCs/>
        </w:rPr>
        <w:t>Q1 through Q5</w:t>
      </w:r>
      <w:r>
        <w:t>:</w:t>
      </w:r>
    </w:p>
    <w:p w14:paraId="5B707071" w14:textId="77777777" w:rsidR="00FB019D" w:rsidRDefault="00000000">
      <w:pPr>
        <w:numPr>
          <w:ilvl w:val="0"/>
          <w:numId w:val="32"/>
        </w:numPr>
        <w:pBdr>
          <w:top w:val="nil"/>
          <w:left w:val="nil"/>
          <w:bottom w:val="nil"/>
          <w:right w:val="nil"/>
          <w:between w:val="nil"/>
        </w:pBdr>
        <w:spacing w:before="0" w:after="0"/>
        <w:ind w:right="0"/>
      </w:pPr>
      <w:r>
        <w:rPr>
          <w:b/>
          <w:bCs/>
        </w:rPr>
        <w:t>Q1 &amp; Q2:</w:t>
      </w:r>
      <w:r>
        <w:t xml:space="preserve"> Reconciling multi-sectoral silos, overriding short-term GDP priorities with resilience arguments, and replacing bureaucratic GAP barriers with legally recognized cooperative infrastructure and PGS.</w:t>
      </w:r>
    </w:p>
    <w:p w14:paraId="5B707072" w14:textId="77777777" w:rsidR="00FB019D" w:rsidRDefault="00000000">
      <w:pPr>
        <w:numPr>
          <w:ilvl w:val="0"/>
          <w:numId w:val="32"/>
        </w:numPr>
        <w:pBdr>
          <w:top w:val="nil"/>
          <w:left w:val="nil"/>
          <w:bottom w:val="nil"/>
          <w:right w:val="nil"/>
          <w:between w:val="nil"/>
        </w:pBdr>
        <w:spacing w:before="0" w:after="0"/>
        <w:ind w:right="0"/>
      </w:pPr>
      <w:r>
        <w:rPr>
          <w:b/>
          <w:bCs/>
        </w:rPr>
        <w:t>Q3:</w:t>
      </w:r>
      <w:r>
        <w:t xml:space="preserve"> Leveraging ASEAN for regional market intelligence, soft-law harmonization, and cooperative empowerment while respecting national policy sovereignty.</w:t>
      </w:r>
    </w:p>
    <w:p w14:paraId="5B707073" w14:textId="77777777" w:rsidR="00FB019D" w:rsidRDefault="00000000">
      <w:pPr>
        <w:numPr>
          <w:ilvl w:val="0"/>
          <w:numId w:val="32"/>
        </w:numPr>
        <w:pBdr>
          <w:top w:val="nil"/>
          <w:left w:val="nil"/>
          <w:bottom w:val="nil"/>
          <w:right w:val="nil"/>
          <w:between w:val="nil"/>
        </w:pBdr>
        <w:spacing w:before="0" w:after="0"/>
        <w:ind w:right="0"/>
      </w:pPr>
      <w:r>
        <w:rPr>
          <w:b/>
          <w:bCs/>
        </w:rPr>
        <w:t>Q4:</w:t>
      </w:r>
      <w:r>
        <w:t xml:space="preserve"> Using public procurement / school feeding as a de-risked institutional market anchor.</w:t>
      </w:r>
    </w:p>
    <w:p w14:paraId="5B707074" w14:textId="77777777" w:rsidR="00FB019D" w:rsidRDefault="00000000">
      <w:pPr>
        <w:numPr>
          <w:ilvl w:val="0"/>
          <w:numId w:val="32"/>
        </w:numPr>
        <w:pBdr>
          <w:top w:val="nil"/>
          <w:left w:val="nil"/>
          <w:bottom w:val="nil"/>
          <w:right w:val="nil"/>
          <w:between w:val="nil"/>
        </w:pBdr>
        <w:spacing w:before="0" w:after="0"/>
        <w:ind w:right="0"/>
      </w:pPr>
      <w:r>
        <w:rPr>
          <w:b/>
          <w:bCs/>
        </w:rPr>
        <w:t>Q5:</w:t>
      </w:r>
      <w:r>
        <w:t xml:space="preserve"> Sequencing policy mixes so that smallholder transition support is established </w:t>
      </w:r>
      <w:r>
        <w:rPr>
          <w:i/>
          <w:iCs/>
        </w:rPr>
        <w:t>before</w:t>
      </w:r>
      <w:r>
        <w:t xml:space="preserve"> conventional input support is phased out.</w:t>
      </w:r>
    </w:p>
    <w:p w14:paraId="5B707075" w14:textId="77777777" w:rsidR="00FB019D" w:rsidRDefault="00000000">
      <w:pPr>
        <w:pBdr>
          <w:top w:val="nil"/>
          <w:left w:val="nil"/>
          <w:bottom w:val="nil"/>
          <w:right w:val="nil"/>
          <w:between w:val="nil"/>
        </w:pBdr>
        <w:spacing w:before="320" w:after="320"/>
        <w:ind w:left="0" w:right="0"/>
      </w:pPr>
      <w:r>
        <w:t xml:space="preserve">Whenever you are ready, let me know which cluster of questions (e.g., </w:t>
      </w:r>
      <w:r>
        <w:rPr>
          <w:b/>
          <w:bCs/>
        </w:rPr>
        <w:t>Q6–Q10 on Transition Finance and Value Distribution</w:t>
      </w:r>
      <w:r>
        <w:t xml:space="preserve">, or </w:t>
      </w:r>
      <w:r>
        <w:rPr>
          <w:b/>
          <w:bCs/>
        </w:rPr>
        <w:t>Q11–Q15 on Consumer Behavior</w:t>
      </w:r>
      <w:r>
        <w:t>) you would like to examine next!</w:t>
      </w:r>
    </w:p>
    <w:p w14:paraId="5B707076" w14:textId="77777777" w:rsidR="00FB019D" w:rsidRDefault="00000000">
      <w:pPr>
        <w:pBdr>
          <w:top w:val="nil"/>
          <w:left w:val="nil"/>
          <w:bottom w:val="nil"/>
          <w:right w:val="nil"/>
          <w:between w:val="nil"/>
        </w:pBdr>
        <w:spacing w:before="0" w:after="0"/>
        <w:ind w:left="0" w:right="0"/>
      </w:pPr>
      <w:r>
        <w:pict w14:anchorId="5B7072E8">
          <v:rect id="_x0000_i1036" style="width:0;height:1.5pt" o:hralign="center" o:hrstd="t" o:hr="t" fillcolor="#a0a0a0" stroked="f"/>
        </w:pict>
      </w:r>
    </w:p>
    <w:p w14:paraId="5B707077"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Okay so our discussion have touched the key idea of "values". I'm curious to discuss how values would play roles in such process. And values are not enough, right? They are entry points or shared normative grounds, but there are more to make the scaling and transition successful.</w:t>
      </w:r>
    </w:p>
    <w:p w14:paraId="5B707078" w14:textId="77777777" w:rsidR="00FB019D" w:rsidRDefault="00000000">
      <w:pPr>
        <w:pBdr>
          <w:top w:val="nil"/>
          <w:left w:val="nil"/>
          <w:bottom w:val="nil"/>
          <w:right w:val="nil"/>
          <w:between w:val="nil"/>
        </w:pBdr>
        <w:spacing w:before="0" w:after="320"/>
        <w:ind w:left="0" w:right="0"/>
        <w:rPr>
          <w:b/>
          <w:bCs/>
        </w:rPr>
      </w:pPr>
      <w:r>
        <w:lastRenderedPageBreak/>
        <w:t xml:space="preserve">Response: </w:t>
      </w:r>
      <w:r>
        <w:rPr>
          <w:b/>
          <w:bCs/>
        </w:rPr>
        <w:t>Related Original Questions:</w:t>
      </w:r>
    </w:p>
    <w:p w14:paraId="5B707079" w14:textId="77777777" w:rsidR="00FB019D" w:rsidRDefault="00000000">
      <w:pPr>
        <w:numPr>
          <w:ilvl w:val="0"/>
          <w:numId w:val="33"/>
        </w:numPr>
        <w:pBdr>
          <w:top w:val="nil"/>
          <w:left w:val="nil"/>
          <w:bottom w:val="nil"/>
          <w:right w:val="nil"/>
          <w:between w:val="nil"/>
        </w:pBdr>
        <w:spacing w:before="0" w:after="0"/>
        <w:ind w:right="0"/>
      </w:pPr>
      <w:r>
        <w:rPr>
          <w:i/>
          <w:iCs/>
        </w:rPr>
        <w:t>Q11:</w:t>
      </w:r>
      <w:r>
        <w:t xml:space="preserve"> "Given that consumers routinely conflate environmental sustainability with personal health benefits, should marketing and behavioral interventions explicitly lead with food safety and nutrition or attempt to cultivate direct intrinsic motivations for ecological stewardship?"</w:t>
      </w:r>
    </w:p>
    <w:p w14:paraId="5B70707A" w14:textId="77777777" w:rsidR="00FB019D" w:rsidRDefault="00000000">
      <w:pPr>
        <w:numPr>
          <w:ilvl w:val="0"/>
          <w:numId w:val="33"/>
        </w:numPr>
        <w:pBdr>
          <w:top w:val="nil"/>
          <w:left w:val="nil"/>
          <w:bottom w:val="nil"/>
          <w:right w:val="nil"/>
          <w:between w:val="nil"/>
        </w:pBdr>
        <w:spacing w:before="0" w:after="0"/>
        <w:ind w:right="0"/>
      </w:pPr>
      <w:r>
        <w:rPr>
          <w:i/>
          <w:iCs/>
        </w:rPr>
        <w:t>Q20:</w:t>
      </w:r>
      <w:r>
        <w:t xml:space="preserve"> "To what extent does the depoliticized, carbon-centric framing of 'regenerative agriculture' risk commodifying natural ecosystems compared to comprehensive, socially transformative agroecological movements?"</w:t>
      </w:r>
    </w:p>
    <w:p w14:paraId="5B70707B" w14:textId="77777777" w:rsidR="00FB019D" w:rsidRDefault="00000000">
      <w:pPr>
        <w:numPr>
          <w:ilvl w:val="0"/>
          <w:numId w:val="33"/>
        </w:numPr>
        <w:pBdr>
          <w:top w:val="nil"/>
          <w:left w:val="nil"/>
          <w:bottom w:val="nil"/>
          <w:right w:val="nil"/>
          <w:between w:val="nil"/>
        </w:pBdr>
        <w:spacing w:before="0" w:after="0"/>
        <w:ind w:right="0"/>
      </w:pPr>
      <w:r>
        <w:rPr>
          <w:i/>
          <w:iCs/>
        </w:rPr>
        <w:t>Q25:</w:t>
      </w:r>
      <w:r>
        <w:t xml:space="preserve"> "When market premiums fail to materialize or fluctuate unpredictably, what non-market governance mechanisms (such as agrarian social movements, community-supported agriculture, or public stewardship payments) provide the most stable foundation for long-term ecological restoration?"</w:t>
      </w:r>
    </w:p>
    <w:p w14:paraId="5B70707C" w14:textId="77777777" w:rsidR="00FB019D" w:rsidRDefault="00000000">
      <w:pPr>
        <w:pStyle w:val="Heading3"/>
        <w:spacing w:after="320"/>
      </w:pPr>
      <w:r>
        <w:t>Expert Critique &amp; Systems-Thinking Analysis</w:t>
      </w:r>
    </w:p>
    <w:p w14:paraId="5B70707D" w14:textId="77777777" w:rsidR="00FB019D" w:rsidRDefault="00000000">
      <w:pPr>
        <w:pBdr>
          <w:top w:val="nil"/>
          <w:left w:val="nil"/>
          <w:bottom w:val="nil"/>
          <w:right w:val="nil"/>
          <w:between w:val="nil"/>
        </w:pBdr>
        <w:spacing w:before="0" w:after="320"/>
        <w:ind w:left="0" w:right="0"/>
        <w:rPr>
          <w:b/>
          <w:bCs/>
        </w:rPr>
      </w:pPr>
      <w:r>
        <w:t xml:space="preserve">You have hit upon the exact philosophical and operational dividing line in sustainable food systems research: </w:t>
      </w:r>
      <w:r>
        <w:rPr>
          <w:b/>
          <w:bCs/>
        </w:rPr>
        <w:t>values provide the normative compass and shared vocabulary, but values alone do not pay bills, build cold storage, change national budgets, or rewrite trade laws.</w:t>
      </w:r>
    </w:p>
    <w:p w14:paraId="5B70707E" w14:textId="77777777" w:rsidR="00FB019D" w:rsidRDefault="00000000">
      <w:pPr>
        <w:pBdr>
          <w:top w:val="nil"/>
          <w:left w:val="nil"/>
          <w:bottom w:val="nil"/>
          <w:right w:val="nil"/>
          <w:between w:val="nil"/>
        </w:pBdr>
        <w:spacing w:before="0" w:after="320"/>
        <w:ind w:left="0" w:right="0"/>
      </w:pPr>
      <w:r>
        <w:t>If we rely solely on shifting consumer or producer "values" (assuming that if everyone just cared enough, the market would fix itself), we fall into the trap of moralizing a structural, systemic failure.</w:t>
      </w:r>
    </w:p>
    <w:p w14:paraId="5B70707F" w14:textId="77777777" w:rsidR="00FB019D" w:rsidRDefault="00000000">
      <w:pPr>
        <w:pBdr>
          <w:top w:val="nil"/>
          <w:left w:val="nil"/>
          <w:bottom w:val="nil"/>
          <w:right w:val="nil"/>
          <w:between w:val="nil"/>
        </w:pBdr>
        <w:spacing w:before="0" w:after="320"/>
        <w:ind w:left="0" w:right="0"/>
      </w:pPr>
      <w:r>
        <w:t>Here is how values function in the scaling process, and why they must be backed by hard institutional machinery:</w:t>
      </w:r>
    </w:p>
    <w:p w14:paraId="5B707080" w14:textId="77777777" w:rsidR="00FB019D" w:rsidRDefault="00000000">
      <w:pPr>
        <w:pStyle w:val="Heading3"/>
        <w:spacing w:before="0" w:after="320"/>
      </w:pPr>
      <w:r>
        <w:t>1. Values as Normative Entry Points (The "Shared Ground")</w:t>
      </w:r>
    </w:p>
    <w:p w14:paraId="5B707081" w14:textId="77777777" w:rsidR="00FB019D" w:rsidRDefault="00000000">
      <w:pPr>
        <w:pBdr>
          <w:top w:val="nil"/>
          <w:left w:val="nil"/>
          <w:bottom w:val="nil"/>
          <w:right w:val="nil"/>
          <w:between w:val="nil"/>
        </w:pBdr>
        <w:spacing w:before="0" w:after="320"/>
        <w:ind w:left="0" w:right="0"/>
      </w:pPr>
      <w:r>
        <w:t>As outlined in the six-pillar added-value framework, values (health, environmental stewardship, social equity, trust) are vital because they bridge producer motivations with consumer preferences.</w:t>
      </w:r>
    </w:p>
    <w:p w14:paraId="5B707082" w14:textId="77777777" w:rsidR="00FB019D" w:rsidRDefault="00000000">
      <w:pPr>
        <w:numPr>
          <w:ilvl w:val="0"/>
          <w:numId w:val="34"/>
        </w:numPr>
        <w:pBdr>
          <w:top w:val="nil"/>
          <w:left w:val="nil"/>
          <w:bottom w:val="nil"/>
          <w:right w:val="nil"/>
          <w:between w:val="nil"/>
        </w:pBdr>
        <w:spacing w:before="0" w:after="0"/>
        <w:ind w:right="0"/>
      </w:pPr>
      <w:r>
        <w:rPr>
          <w:b/>
          <w:bCs/>
        </w:rPr>
        <w:t>The "Health Halo" Translation:</w:t>
      </w:r>
      <w:r>
        <w:t xml:space="preserve"> In practice, consumers in emerging markets rarely buy products purely out of abstract ecological altruism; they buy them because those values are translated into tangible personal benefits like food safety, zero chemical residues, and nutrition (the "health halo").</w:t>
      </w:r>
    </w:p>
    <w:p w14:paraId="5B707083" w14:textId="77777777" w:rsidR="00FB019D" w:rsidRDefault="00000000">
      <w:pPr>
        <w:numPr>
          <w:ilvl w:val="0"/>
          <w:numId w:val="34"/>
        </w:numPr>
        <w:pBdr>
          <w:top w:val="nil"/>
          <w:left w:val="nil"/>
          <w:bottom w:val="nil"/>
          <w:right w:val="nil"/>
          <w:between w:val="nil"/>
        </w:pBdr>
        <w:spacing w:before="0" w:after="0"/>
        <w:ind w:right="0"/>
      </w:pPr>
      <w:r>
        <w:rPr>
          <w:b/>
          <w:bCs/>
        </w:rPr>
        <w:t>Relational vs. Instrumental Values:</w:t>
      </w:r>
      <w:r>
        <w:t xml:space="preserve"> For smallholders, values are often relational (preserving local soil, community independence, traditional knowledge) rather than purely instrumental. Shared values create the social cohesion necessary to form cooperatives and local alternative food networks.</w:t>
      </w:r>
    </w:p>
    <w:p w14:paraId="5B707084" w14:textId="77777777" w:rsidR="00FB019D" w:rsidRDefault="00000000">
      <w:pPr>
        <w:pStyle w:val="Heading3"/>
        <w:spacing w:after="320"/>
      </w:pPr>
      <w:r>
        <w:t>2. Why Values Are Not Enough: The Structural &amp; Material Gaps</w:t>
      </w:r>
    </w:p>
    <w:p w14:paraId="5B707085" w14:textId="77777777" w:rsidR="00FB019D" w:rsidRDefault="00000000">
      <w:pPr>
        <w:pBdr>
          <w:top w:val="nil"/>
          <w:left w:val="nil"/>
          <w:bottom w:val="nil"/>
          <w:right w:val="nil"/>
          <w:between w:val="nil"/>
        </w:pBdr>
        <w:spacing w:before="0" w:after="320"/>
        <w:ind w:left="0" w:right="0"/>
      </w:pPr>
      <w:r>
        <w:t>Values break down when they collide with structural and economic reality. Without structural support, values are easily neutralized by three hard material barriers:</w:t>
      </w:r>
    </w:p>
    <w:p w14:paraId="5B707086" w14:textId="77777777" w:rsidR="00FB019D" w:rsidRDefault="00000000">
      <w:pPr>
        <w:numPr>
          <w:ilvl w:val="0"/>
          <w:numId w:val="36"/>
        </w:numPr>
        <w:pBdr>
          <w:top w:val="nil"/>
          <w:left w:val="nil"/>
          <w:bottom w:val="nil"/>
          <w:right w:val="nil"/>
          <w:between w:val="nil"/>
        </w:pBdr>
        <w:spacing w:before="0" w:after="0"/>
        <w:ind w:right="0"/>
      </w:pPr>
      <w:r>
        <w:rPr>
          <w:b/>
          <w:bCs/>
        </w:rPr>
        <w:t>The Affordability and "Say-Do" Gap:</w:t>
      </w:r>
      <w:r>
        <w:t xml:space="preserve"> A consumer can deeply value environmental sustainability, but if their household purchasing power is constrained and sustainable goods carry an unverified 30% price premium, economic survival forces them to buy conventional food.</w:t>
      </w:r>
    </w:p>
    <w:p w14:paraId="5B707087" w14:textId="77777777" w:rsidR="00FB019D" w:rsidRDefault="00000000">
      <w:pPr>
        <w:numPr>
          <w:ilvl w:val="0"/>
          <w:numId w:val="36"/>
        </w:numPr>
        <w:pBdr>
          <w:top w:val="nil"/>
          <w:left w:val="nil"/>
          <w:bottom w:val="nil"/>
          <w:right w:val="nil"/>
          <w:between w:val="nil"/>
        </w:pBdr>
        <w:spacing w:before="0" w:after="0"/>
        <w:ind w:right="0"/>
      </w:pPr>
      <w:r>
        <w:rPr>
          <w:b/>
          <w:bCs/>
        </w:rPr>
        <w:t>The Transition Debt Trap:</w:t>
      </w:r>
      <w:r>
        <w:t xml:space="preserve"> A farmer can deeply value regenerative soil health, but if switching from chemical to biological management causes a multi-season yield drop, and they lack transition finance, crop insurance, or secure off-take agreements, their values cannot absorb bankruptcy.</w:t>
      </w:r>
    </w:p>
    <w:p w14:paraId="5B707088" w14:textId="77777777" w:rsidR="00FB019D" w:rsidRDefault="00000000">
      <w:pPr>
        <w:numPr>
          <w:ilvl w:val="0"/>
          <w:numId w:val="36"/>
        </w:numPr>
        <w:pBdr>
          <w:top w:val="nil"/>
          <w:left w:val="nil"/>
          <w:bottom w:val="nil"/>
          <w:right w:val="nil"/>
          <w:between w:val="nil"/>
        </w:pBdr>
        <w:spacing w:before="0" w:after="0"/>
        <w:ind w:right="0"/>
      </w:pPr>
      <w:r>
        <w:rPr>
          <w:b/>
          <w:bCs/>
        </w:rPr>
        <w:t>Midstream Power Asymmetry:</w:t>
      </w:r>
      <w:r>
        <w:t xml:space="preserve"> Even if consumers and producers share identical values regarding </w:t>
      </w:r>
      <w:r>
        <w:lastRenderedPageBreak/>
        <w:t>fairness and quality, downstream traders, collectors, and corporate processors control the supply chain logistics, often capturing the value and leaving producers with low margins.</w:t>
      </w:r>
    </w:p>
    <w:p w14:paraId="5B707089" w14:textId="77777777" w:rsidR="00FB019D" w:rsidRDefault="00000000">
      <w:pPr>
        <w:pStyle w:val="Heading3"/>
        <w:spacing w:after="320"/>
      </w:pPr>
      <w:r>
        <w:t>3. What Must Accompany Values to Make Scaling Successful?</w:t>
      </w:r>
    </w:p>
    <w:p w14:paraId="5B70708A" w14:textId="77777777" w:rsidR="00FB019D" w:rsidRDefault="00000000">
      <w:pPr>
        <w:pBdr>
          <w:top w:val="nil"/>
          <w:left w:val="nil"/>
          <w:bottom w:val="nil"/>
          <w:right w:val="nil"/>
          <w:between w:val="nil"/>
        </w:pBdr>
        <w:spacing w:before="0" w:after="320"/>
        <w:ind w:left="0" w:right="0"/>
      </w:pPr>
      <w:r>
        <w:t xml:space="preserve">To turn shared values into permanent systems change (scaling out, up, and deep), values must be institutionalized into </w:t>
      </w:r>
      <w:r>
        <w:rPr>
          <w:b/>
          <w:bCs/>
        </w:rPr>
        <w:t>hard structural machinery</w:t>
      </w:r>
      <w:r>
        <w:t>:</w:t>
      </w:r>
    </w:p>
    <w:p w14:paraId="5B70708B" w14:textId="77777777" w:rsidR="00FB019D" w:rsidRDefault="00000000">
      <w:pPr>
        <w:numPr>
          <w:ilvl w:val="0"/>
          <w:numId w:val="37"/>
        </w:numPr>
        <w:pBdr>
          <w:top w:val="nil"/>
          <w:left w:val="nil"/>
          <w:bottom w:val="nil"/>
          <w:right w:val="nil"/>
          <w:between w:val="nil"/>
        </w:pBdr>
        <w:spacing w:before="0" w:after="0"/>
        <w:ind w:right="0"/>
      </w:pPr>
      <w:r>
        <w:rPr>
          <w:b/>
          <w:bCs/>
        </w:rPr>
        <w:t>Legal and Financial Infrastructure:</w:t>
      </w:r>
      <w:r>
        <w:t xml:space="preserve"> Turning cooperative principles into legally protected banking and procurement entities (like South Korea’s NACF or institutional school feeding frameworks).</w:t>
      </w:r>
    </w:p>
    <w:p w14:paraId="5B70708C" w14:textId="77777777" w:rsidR="00FB019D" w:rsidRDefault="00000000">
      <w:pPr>
        <w:numPr>
          <w:ilvl w:val="0"/>
          <w:numId w:val="37"/>
        </w:numPr>
        <w:pBdr>
          <w:top w:val="nil"/>
          <w:left w:val="nil"/>
          <w:bottom w:val="nil"/>
          <w:right w:val="nil"/>
          <w:between w:val="nil"/>
        </w:pBdr>
        <w:spacing w:before="0" w:after="0"/>
        <w:ind w:right="0"/>
      </w:pPr>
      <w:r>
        <w:rPr>
          <w:b/>
          <w:bCs/>
        </w:rPr>
        <w:t>De-risking &amp; Transition Support:</w:t>
      </w:r>
      <w:r>
        <w:t xml:space="preserve"> Providing concrete multi-season financial cushions (blended finance, transition grants, and bio-input subsidies) so farmers don't bear the full economic cost of ecological restoration.</w:t>
      </w:r>
    </w:p>
    <w:p w14:paraId="5B70708D" w14:textId="77777777" w:rsidR="00FB019D" w:rsidRDefault="00000000">
      <w:pPr>
        <w:numPr>
          <w:ilvl w:val="0"/>
          <w:numId w:val="37"/>
        </w:numPr>
        <w:pBdr>
          <w:top w:val="nil"/>
          <w:left w:val="nil"/>
          <w:bottom w:val="nil"/>
          <w:right w:val="nil"/>
          <w:between w:val="nil"/>
        </w:pBdr>
        <w:spacing w:before="0" w:after="0"/>
        <w:ind w:right="0"/>
      </w:pPr>
      <w:r>
        <w:rPr>
          <w:b/>
          <w:bCs/>
        </w:rPr>
        <w:t>Credible Verification Systems:</w:t>
      </w:r>
      <w:r>
        <w:t xml:space="preserve"> Replacing vague corporate marketing "values" with transparent, low-cost verification (such as legally institutionalized PGS or strict CamGAP/VietGAP harmonization) that protects consumers from fraud and rewards true practitioners.</w:t>
      </w:r>
    </w:p>
    <w:p w14:paraId="5B70708E" w14:textId="77777777" w:rsidR="00FB019D" w:rsidRDefault="00000000">
      <w:pPr>
        <w:pBdr>
          <w:top w:val="nil"/>
          <w:left w:val="nil"/>
          <w:bottom w:val="nil"/>
          <w:right w:val="nil"/>
          <w:between w:val="nil"/>
        </w:pBdr>
        <w:spacing w:before="320" w:after="320"/>
        <w:ind w:left="0" w:right="0"/>
      </w:pPr>
      <w:r>
        <w:t>What aspect of this transition machinery would you like to dissect next—how values translate into consumer choices, or how institutional frameworks protect those values from being commodified?</w:t>
      </w:r>
    </w:p>
    <w:p w14:paraId="5B70708F" w14:textId="77777777" w:rsidR="00FB019D" w:rsidRDefault="00000000">
      <w:pPr>
        <w:pBdr>
          <w:top w:val="nil"/>
          <w:left w:val="nil"/>
          <w:bottom w:val="nil"/>
          <w:right w:val="nil"/>
          <w:between w:val="nil"/>
        </w:pBdr>
        <w:spacing w:before="0" w:after="0"/>
        <w:ind w:left="0" w:right="0"/>
      </w:pPr>
      <w:r>
        <w:pict w14:anchorId="5B7072E9">
          <v:rect id="_x0000_i1037" style="width:0;height:1.5pt" o:hralign="center" o:hrstd="t" o:hr="t" fillcolor="#a0a0a0" stroked="f"/>
        </w:pict>
      </w:r>
    </w:p>
    <w:p w14:paraId="5B707090"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Okay many things to clarify before we continue. - How well-supported is "health halo" in the literature? - The intrinsic vs. instrumental vs. relational values? How influencial is this typology? How does this affect the integration of values in interventions? - are we finally deducting everything to economic issues? - Q6: you seem to just addressed that. But again, how do make them implemented and well-coordinated? Given the often weak institutions of LMICs and developing ASEAN counties.</w:t>
      </w:r>
    </w:p>
    <w:p w14:paraId="5B707091"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w:t>
      </w:r>
    </w:p>
    <w:p w14:paraId="5B707092" w14:textId="77777777" w:rsidR="00FB019D" w:rsidRDefault="00000000">
      <w:pPr>
        <w:numPr>
          <w:ilvl w:val="0"/>
          <w:numId w:val="38"/>
        </w:numPr>
        <w:pBdr>
          <w:top w:val="nil"/>
          <w:left w:val="nil"/>
          <w:bottom w:val="nil"/>
          <w:right w:val="nil"/>
          <w:between w:val="nil"/>
        </w:pBdr>
        <w:spacing w:before="0" w:after="0"/>
        <w:ind w:right="0"/>
      </w:pPr>
      <w:r>
        <w:rPr>
          <w:i/>
          <w:iCs/>
        </w:rPr>
        <w:t>Q6:</w:t>
      </w:r>
      <w:r>
        <w:t xml:space="preserve"> "Given that regenerative practices often incur initial yield penalties and high upfront labor costs, what blended finance architectures and risk-sharing mechanisms (e.g., transition insurance, carbon credits, or targeted subsidies) are required to bridge the multi-season revenue gap?"</w:t>
      </w:r>
    </w:p>
    <w:p w14:paraId="5B707093" w14:textId="77777777" w:rsidR="00FB019D" w:rsidRDefault="00000000">
      <w:pPr>
        <w:numPr>
          <w:ilvl w:val="0"/>
          <w:numId w:val="38"/>
        </w:numPr>
        <w:pBdr>
          <w:top w:val="nil"/>
          <w:left w:val="nil"/>
          <w:bottom w:val="nil"/>
          <w:right w:val="nil"/>
          <w:between w:val="nil"/>
        </w:pBdr>
        <w:spacing w:before="0" w:after="0"/>
        <w:ind w:right="0"/>
      </w:pPr>
      <w:r>
        <w:rPr>
          <w:i/>
          <w:iCs/>
        </w:rPr>
        <w:t>Q11:</w:t>
      </w:r>
      <w:r>
        <w:t xml:space="preserve"> "Given that consumers routinely conflate environmental sustainability with personal health benefits, should marketing and behavioral interventions explicitly lead with food safety and nutrition or attempt to cultivate direct intrinsic motivations for ecological stewardship?"</w:t>
      </w:r>
    </w:p>
    <w:p w14:paraId="5B707094" w14:textId="77777777" w:rsidR="00FB019D" w:rsidRDefault="00000000">
      <w:pPr>
        <w:pStyle w:val="Heading3"/>
        <w:spacing w:after="320"/>
      </w:pPr>
      <w:r>
        <w:t>Expert Critique &amp; Systems-Thinking Analysis</w:t>
      </w:r>
    </w:p>
    <w:p w14:paraId="5B707095" w14:textId="77777777" w:rsidR="00FB019D" w:rsidRDefault="00000000">
      <w:pPr>
        <w:pBdr>
          <w:top w:val="nil"/>
          <w:left w:val="nil"/>
          <w:bottom w:val="nil"/>
          <w:right w:val="nil"/>
          <w:between w:val="nil"/>
        </w:pBdr>
        <w:spacing w:before="0" w:after="320"/>
        <w:ind w:left="0" w:right="0"/>
      </w:pPr>
      <w:r>
        <w:t>These four points cut to the absolute core of methodology, behavioral science, economic reductionism, and institutional reality in LMICs. Let’s tackle them one by one.</w:t>
      </w:r>
    </w:p>
    <w:p w14:paraId="5B707096" w14:textId="77777777" w:rsidR="00FB019D" w:rsidRDefault="00000000">
      <w:pPr>
        <w:pStyle w:val="Heading3"/>
        <w:spacing w:before="0"/>
      </w:pPr>
      <w:r>
        <w:t>1. How well-supported is the "health halo" in the literature?</w:t>
      </w:r>
    </w:p>
    <w:p w14:paraId="5B707097" w14:textId="77777777" w:rsidR="00FB019D" w:rsidRDefault="00000000">
      <w:pPr>
        <w:numPr>
          <w:ilvl w:val="0"/>
          <w:numId w:val="39"/>
        </w:numPr>
        <w:pBdr>
          <w:top w:val="nil"/>
          <w:left w:val="nil"/>
          <w:bottom w:val="nil"/>
          <w:right w:val="nil"/>
          <w:between w:val="nil"/>
        </w:pBdr>
        <w:spacing w:before="0" w:after="0"/>
        <w:ind w:right="0"/>
      </w:pPr>
      <w:r>
        <w:rPr>
          <w:b/>
          <w:bCs/>
        </w:rPr>
        <w:t>The Verdict:</w:t>
      </w:r>
      <w:r>
        <w:t xml:space="preserve"> Extremely well-supported, particularly in consumer behavior and nutritional psychology literature.</w:t>
      </w:r>
    </w:p>
    <w:p w14:paraId="5B707098" w14:textId="77777777" w:rsidR="00FB019D" w:rsidRDefault="00000000">
      <w:pPr>
        <w:numPr>
          <w:ilvl w:val="0"/>
          <w:numId w:val="39"/>
        </w:numPr>
        <w:pBdr>
          <w:top w:val="nil"/>
          <w:left w:val="nil"/>
          <w:bottom w:val="nil"/>
          <w:right w:val="nil"/>
          <w:between w:val="nil"/>
        </w:pBdr>
        <w:spacing w:before="0" w:after="0"/>
        <w:ind w:right="0"/>
      </w:pPr>
      <w:r>
        <w:rPr>
          <w:b/>
          <w:bCs/>
        </w:rPr>
        <w:t>The Evidence:</w:t>
      </w:r>
      <w:r>
        <w:t xml:space="preserve"> The "health halo" effect (where consumers automatically assume that a product labeled "eco-friendly," "sustainable," "natural," or "organic" is also lower in calories, safer, more nutritious, and better for personal well-being) has been robustly documented across multiple </w:t>
      </w:r>
      <w:r>
        <w:lastRenderedPageBreak/>
        <w:t>systematic reviews and discrete choice experiments (e.g., Cook et al., 2023; Majer et al., 2022).</w:t>
      </w:r>
    </w:p>
    <w:p w14:paraId="5B707099" w14:textId="77777777" w:rsidR="00FB019D" w:rsidRDefault="00000000">
      <w:pPr>
        <w:numPr>
          <w:ilvl w:val="0"/>
          <w:numId w:val="39"/>
        </w:numPr>
        <w:pBdr>
          <w:top w:val="nil"/>
          <w:left w:val="nil"/>
          <w:bottom w:val="nil"/>
          <w:right w:val="nil"/>
          <w:between w:val="nil"/>
        </w:pBdr>
        <w:spacing w:before="0" w:after="0"/>
        <w:ind w:right="0"/>
      </w:pPr>
      <w:r>
        <w:rPr>
          <w:b/>
          <w:bCs/>
        </w:rPr>
        <w:t>The Practical Implication:</w:t>
      </w:r>
      <w:r>
        <w:t xml:space="preserve"> Consumers are inherently self-interested; personal health protection is a much stronger, more immediate psychological driver than abstract altruism toward the global climate or biodiversity. Therefore, marketing and behavior-change interventions that lead with </w:t>
      </w:r>
      <w:r>
        <w:rPr>
          <w:i/>
          <w:iCs/>
        </w:rPr>
        <w:t>food safety, reduced chemical residues, and nutrition</w:t>
      </w:r>
      <w:r>
        <w:t xml:space="preserve"> consistently achieve higher willingness-to-pay (WTP) and market traction in emerging economies than those leading strictly with carbon footprints or environmental conservation (Cook et al., 2023; My et al., 2018).</w:t>
      </w:r>
    </w:p>
    <w:p w14:paraId="5B70709A" w14:textId="77777777" w:rsidR="00FB019D" w:rsidRDefault="00000000">
      <w:pPr>
        <w:pStyle w:val="Heading3"/>
      </w:pPr>
      <w:r>
        <w:t>2. Intrinsic vs. Instrumental vs. Relational Values: Influence and Intervention Design</w:t>
      </w:r>
    </w:p>
    <w:p w14:paraId="5B70709B" w14:textId="77777777" w:rsidR="00FB019D" w:rsidRDefault="00000000">
      <w:pPr>
        <w:numPr>
          <w:ilvl w:val="0"/>
          <w:numId w:val="40"/>
        </w:numPr>
        <w:pBdr>
          <w:top w:val="nil"/>
          <w:left w:val="nil"/>
          <w:bottom w:val="nil"/>
          <w:right w:val="nil"/>
          <w:between w:val="nil"/>
        </w:pBdr>
        <w:spacing w:before="0" w:after="0"/>
        <w:ind w:right="0"/>
      </w:pPr>
      <w:r>
        <w:rPr>
          <w:b/>
          <w:bCs/>
        </w:rPr>
        <w:t>The Typology's Influence:</w:t>
      </w:r>
      <w:r>
        <w:t xml:space="preserve"> This typology (originated in environmental philosophy and ecological economics, heavily advanced by IPBES and scholars like Arias-Arévalo et al., 2017; Himes et al., 2024; and Pascual et al.) has become highly influential in shaping how scientists and policymakers map human-nature relationships.</w:t>
      </w:r>
    </w:p>
    <w:p w14:paraId="5B70709C" w14:textId="77777777" w:rsidR="00FB019D" w:rsidRDefault="00000000">
      <w:pPr>
        <w:numPr>
          <w:ilvl w:val="1"/>
          <w:numId w:val="41"/>
        </w:numPr>
        <w:pBdr>
          <w:top w:val="nil"/>
          <w:left w:val="nil"/>
          <w:bottom w:val="nil"/>
          <w:right w:val="nil"/>
          <w:between w:val="nil"/>
        </w:pBdr>
        <w:spacing w:before="0" w:after="0"/>
        <w:ind w:right="0"/>
      </w:pPr>
      <w:r>
        <w:rPr>
          <w:i/>
          <w:iCs/>
        </w:rPr>
        <w:t>Instrumental Values:</w:t>
      </w:r>
      <w:r>
        <w:t xml:space="preserve"> Worth as a means to human ends (e.g., economic premiums, crop yields, health protection). Easily monetized.</w:t>
      </w:r>
    </w:p>
    <w:p w14:paraId="5B70709D" w14:textId="77777777" w:rsidR="00FB019D" w:rsidRDefault="00000000">
      <w:pPr>
        <w:numPr>
          <w:ilvl w:val="1"/>
          <w:numId w:val="41"/>
        </w:numPr>
        <w:pBdr>
          <w:top w:val="nil"/>
          <w:left w:val="nil"/>
          <w:bottom w:val="nil"/>
          <w:right w:val="nil"/>
          <w:between w:val="nil"/>
        </w:pBdr>
        <w:spacing w:before="0" w:after="0"/>
        <w:ind w:right="0"/>
      </w:pPr>
      <w:r>
        <w:rPr>
          <w:i/>
          <w:iCs/>
        </w:rPr>
        <w:t>Intrinsic Values:</w:t>
      </w:r>
      <w:r>
        <w:t xml:space="preserve"> Worth of entities as ends in themselves, independent of human utility (e.g., the inherent right of ecosystems to exist).</w:t>
      </w:r>
    </w:p>
    <w:p w14:paraId="5B70709E" w14:textId="77777777" w:rsidR="00FB019D" w:rsidRDefault="00000000">
      <w:pPr>
        <w:numPr>
          <w:ilvl w:val="1"/>
          <w:numId w:val="41"/>
        </w:numPr>
        <w:pBdr>
          <w:top w:val="nil"/>
          <w:left w:val="nil"/>
          <w:bottom w:val="nil"/>
          <w:right w:val="nil"/>
          <w:between w:val="nil"/>
        </w:pBdr>
        <w:spacing w:before="0" w:after="0"/>
        <w:ind w:right="0"/>
      </w:pPr>
      <w:r>
        <w:rPr>
          <w:i/>
          <w:iCs/>
        </w:rPr>
        <w:t>Relational Values:</w:t>
      </w:r>
      <w:r>
        <w:t xml:space="preserve"> Worth derived from meaningful, context-dependent relationships between people and nature, or among community members (e.g., stewardship, identity, care, cultural heritage, community solidarity) (Arias-Arévalo et al., 2017; Himes et al., 2024).</w:t>
      </w:r>
    </w:p>
    <w:p w14:paraId="5B70709F" w14:textId="77777777" w:rsidR="00FB019D" w:rsidRDefault="00000000">
      <w:pPr>
        <w:numPr>
          <w:ilvl w:val="0"/>
          <w:numId w:val="40"/>
        </w:numPr>
        <w:pBdr>
          <w:top w:val="nil"/>
          <w:left w:val="nil"/>
          <w:bottom w:val="nil"/>
          <w:right w:val="nil"/>
          <w:between w:val="nil"/>
        </w:pBdr>
        <w:spacing w:before="0" w:after="0"/>
        <w:ind w:right="0"/>
      </w:pPr>
      <w:r>
        <w:rPr>
          <w:b/>
          <w:bCs/>
        </w:rPr>
        <w:t>How It Affects Interventions:</w:t>
      </w:r>
      <w:r>
        <w:t xml:space="preserve"> If interventions rely </w:t>
      </w:r>
      <w:r>
        <w:rPr>
          <w:i/>
          <w:iCs/>
        </w:rPr>
        <w:t>only</w:t>
      </w:r>
      <w:r>
        <w:t xml:space="preserve"> on instrumental values (e.g., trying to pay farmers a cash premium for carbon sequestration), they often fail or distort behavior because they commodify nature, creating mercenary compliance that collapses the moment the subsidy stops. Conversely, successful agroecological and cooperative initiatives integrate </w:t>
      </w:r>
      <w:r>
        <w:rPr>
          <w:b/>
          <w:bCs/>
        </w:rPr>
        <w:t>relational values</w:t>
      </w:r>
      <w:r>
        <w:t>—building on community pride, peer-to-peer trust, collective identity, and shared responsibility (De Lucio et al., 2025; Vizuete et al., 2025). Interventions must combine both: using instrumental mechanisms (credit, fair pricing) for economic survival while nurturing relational mechanisms (cooperatives, cultural pride) for long-term social stickiness.</w:t>
      </w:r>
    </w:p>
    <w:p w14:paraId="5B7070A0" w14:textId="77777777" w:rsidR="00FB019D" w:rsidRDefault="00000000">
      <w:pPr>
        <w:pStyle w:val="Heading3"/>
      </w:pPr>
      <w:r>
        <w:t>3. Are we finally deducting everything to economic issues?</w:t>
      </w:r>
    </w:p>
    <w:p w14:paraId="5B7070A1" w14:textId="77777777" w:rsidR="00FB019D" w:rsidRDefault="00000000">
      <w:pPr>
        <w:numPr>
          <w:ilvl w:val="0"/>
          <w:numId w:val="42"/>
        </w:numPr>
        <w:pBdr>
          <w:top w:val="nil"/>
          <w:left w:val="nil"/>
          <w:bottom w:val="nil"/>
          <w:right w:val="nil"/>
          <w:between w:val="nil"/>
        </w:pBdr>
        <w:spacing w:before="0" w:after="0"/>
        <w:ind w:right="0"/>
      </w:pPr>
      <w:r>
        <w:rPr>
          <w:b/>
          <w:bCs/>
        </w:rPr>
        <w:t>The Short Answer:</w:t>
      </w:r>
      <w:r>
        <w:t xml:space="preserve"> No, but economics is the </w:t>
      </w:r>
      <w:r>
        <w:rPr>
          <w:i/>
          <w:iCs/>
        </w:rPr>
        <w:t>gatekeeper</w:t>
      </w:r>
      <w:r>
        <w:t xml:space="preserve"> of behavior.</w:t>
      </w:r>
    </w:p>
    <w:p w14:paraId="5B7070A2" w14:textId="77777777" w:rsidR="00FB019D" w:rsidRDefault="00000000">
      <w:pPr>
        <w:numPr>
          <w:ilvl w:val="0"/>
          <w:numId w:val="42"/>
        </w:numPr>
        <w:pBdr>
          <w:top w:val="nil"/>
          <w:left w:val="nil"/>
          <w:bottom w:val="nil"/>
          <w:right w:val="nil"/>
          <w:between w:val="nil"/>
        </w:pBdr>
        <w:spacing w:before="0" w:after="0"/>
        <w:ind w:right="0"/>
      </w:pPr>
      <w:r>
        <w:rPr>
          <w:b/>
          <w:bCs/>
        </w:rPr>
        <w:t>The Nuance:</w:t>
      </w:r>
      <w:r>
        <w:t xml:space="preserve"> Deducting everything to pure economics (neoclassical reductionism) is a dangerous trap. As discussed above, social identity, trust, culture, and power are critical. However, in the material reality of smallholders and price-sensitive urban consumers in LMICs, </w:t>
      </w:r>
      <w:r>
        <w:rPr>
          <w:b/>
          <w:bCs/>
        </w:rPr>
        <w:t>economics acts as a binding constraint.</w:t>
      </w:r>
      <w:r>
        <w:t xml:space="preserve"> A farmer can have profound relational values regarding soil stewardship, but if adopting regenerative practices pushes them into unmanageable debt or starvation due to yield drops, economic survival forces them back to conventional farming. Economics doesn't </w:t>
      </w:r>
      <w:r>
        <w:rPr>
          <w:i/>
          <w:iCs/>
        </w:rPr>
        <w:t>explain</w:t>
      </w:r>
      <w:r>
        <w:t xml:space="preserve"> all motivations, but it determines whether motivations can be </w:t>
      </w:r>
      <w:r>
        <w:rPr>
          <w:i/>
          <w:iCs/>
        </w:rPr>
        <w:t>survived</w:t>
      </w:r>
      <w:r>
        <w:t>.</w:t>
      </w:r>
    </w:p>
    <w:p w14:paraId="5B7070A3" w14:textId="77777777" w:rsidR="00FB019D" w:rsidRDefault="00000000">
      <w:pPr>
        <w:pStyle w:val="Heading3"/>
      </w:pPr>
      <w:r>
        <w:t>4. Q6 &amp; The Institutional Reality: How to Implement in Weak-Institution LMICs?</w:t>
      </w:r>
    </w:p>
    <w:p w14:paraId="5B7070A4" w14:textId="77777777" w:rsidR="00FB019D" w:rsidRDefault="00000000">
      <w:pPr>
        <w:numPr>
          <w:ilvl w:val="0"/>
          <w:numId w:val="43"/>
        </w:numPr>
        <w:pBdr>
          <w:top w:val="nil"/>
          <w:left w:val="nil"/>
          <w:bottom w:val="nil"/>
          <w:right w:val="nil"/>
          <w:between w:val="nil"/>
        </w:pBdr>
        <w:spacing w:before="0" w:after="0"/>
        <w:ind w:right="0"/>
      </w:pPr>
      <w:r>
        <w:rPr>
          <w:b/>
          <w:bCs/>
        </w:rPr>
        <w:t>The Core Dilemma:</w:t>
      </w:r>
      <w:r>
        <w:t xml:space="preserve"> Recommending "blended finance architectures, transition insurance, and carbon credits" sounds great in a policy paper, but in countries with weak state capacity, fragmented bureaucracies, and low financial inclusion, these instruments are nearly impossible to execute top-down.</w:t>
      </w:r>
    </w:p>
    <w:p w14:paraId="5B7070A5" w14:textId="77777777" w:rsidR="00FB019D" w:rsidRDefault="00000000">
      <w:pPr>
        <w:numPr>
          <w:ilvl w:val="0"/>
          <w:numId w:val="43"/>
        </w:numPr>
        <w:pBdr>
          <w:top w:val="nil"/>
          <w:left w:val="nil"/>
          <w:bottom w:val="nil"/>
          <w:right w:val="nil"/>
          <w:between w:val="nil"/>
        </w:pBdr>
        <w:spacing w:before="0" w:after="0"/>
        <w:ind w:right="0"/>
      </w:pPr>
      <w:r>
        <w:rPr>
          <w:b/>
          <w:bCs/>
        </w:rPr>
        <w:t>How to Operationalize It in Weak Institutional Contexts:</w:t>
      </w:r>
    </w:p>
    <w:p w14:paraId="5B7070A6" w14:textId="77777777" w:rsidR="00FB019D" w:rsidRDefault="00000000">
      <w:pPr>
        <w:numPr>
          <w:ilvl w:val="1"/>
          <w:numId w:val="44"/>
        </w:numPr>
        <w:pBdr>
          <w:top w:val="nil"/>
          <w:left w:val="nil"/>
          <w:bottom w:val="nil"/>
          <w:right w:val="nil"/>
          <w:between w:val="nil"/>
        </w:pBdr>
        <w:spacing w:before="0" w:after="0"/>
        <w:ind w:right="0"/>
      </w:pPr>
      <w:r>
        <w:rPr>
          <w:b/>
          <w:bCs/>
        </w:rPr>
        <w:t>Leverage Existing Social Infrastructure (The Cooperative/PGS Proxy):</w:t>
      </w:r>
      <w:r>
        <w:t xml:space="preserve"> Instead of waiting for a weak state ministry to distribute transition subsidies farm-by-farm (which invites </w:t>
      </w:r>
      <w:r>
        <w:lastRenderedPageBreak/>
        <w:t xml:space="preserve">corruption and high administrative costs), channel funds </w:t>
      </w:r>
      <w:r>
        <w:rPr>
          <w:i/>
          <w:iCs/>
        </w:rPr>
        <w:t>through</w:t>
      </w:r>
      <w:r>
        <w:t xml:space="preserve"> existing, organized farmer cooperatives or NGO-backed networks. The cooperative acts as the local institutional guarantor.</w:t>
      </w:r>
    </w:p>
    <w:p w14:paraId="5B7070A7" w14:textId="77777777" w:rsidR="00FB019D" w:rsidRDefault="00000000">
      <w:pPr>
        <w:numPr>
          <w:ilvl w:val="1"/>
          <w:numId w:val="44"/>
        </w:numPr>
        <w:pBdr>
          <w:top w:val="nil"/>
          <w:left w:val="nil"/>
          <w:bottom w:val="nil"/>
          <w:right w:val="nil"/>
          <w:between w:val="nil"/>
        </w:pBdr>
        <w:spacing w:before="0" w:after="0"/>
        <w:ind w:right="0"/>
      </w:pPr>
      <w:r>
        <w:rPr>
          <w:b/>
          <w:bCs/>
        </w:rPr>
        <w:t>Value-Chain Integrated Finance (Anchor Firm &amp; Off-Taker Models):</w:t>
      </w:r>
      <w:r>
        <w:t xml:space="preserve"> Rather than relying on fragile state banks, tie transition credit directly to commercial supply chain contracts. For instance, reputable processing firms or exporters provide bio-inputs and technical advice upfront, recovering the cost when the harvest is delivered (similar to contract farming models, but legally safeguarded for fairness).</w:t>
      </w:r>
    </w:p>
    <w:p w14:paraId="5B7070A8" w14:textId="77777777" w:rsidR="00FB019D" w:rsidRDefault="00000000">
      <w:pPr>
        <w:numPr>
          <w:ilvl w:val="1"/>
          <w:numId w:val="44"/>
        </w:numPr>
        <w:pBdr>
          <w:top w:val="nil"/>
          <w:left w:val="nil"/>
          <w:bottom w:val="nil"/>
          <w:right w:val="nil"/>
          <w:between w:val="nil"/>
        </w:pBdr>
        <w:spacing w:before="0" w:after="0"/>
        <w:ind w:right="0"/>
      </w:pPr>
      <w:r>
        <w:rPr>
          <w:b/>
          <w:bCs/>
        </w:rPr>
        <w:t>Simplified, Low-Cost Risk Buffers:</w:t>
      </w:r>
      <w:r>
        <w:t xml:space="preserve"> Complex weather-index insurance schemes often fail in LMICs due to basis risk and lack of data. Simpler mechanisms—such as input-subsidy vouchers tied to verifiable practice changes or localized guarantee funds managed collectively by producer groups—are far more resilient in low-capacity environments.</w:t>
      </w:r>
    </w:p>
    <w:p w14:paraId="5B7070A9" w14:textId="77777777" w:rsidR="00FB019D" w:rsidRDefault="00000000">
      <w:pPr>
        <w:pBdr>
          <w:top w:val="nil"/>
          <w:left w:val="nil"/>
          <w:bottom w:val="nil"/>
          <w:right w:val="nil"/>
          <w:between w:val="nil"/>
        </w:pBdr>
        <w:spacing w:before="0" w:after="0"/>
        <w:ind w:left="0" w:right="0"/>
      </w:pPr>
      <w:r>
        <w:pict w14:anchorId="5B7072EA">
          <v:rect id="_x0000_i1038" style="width:0;height:1.5pt" o:hralign="center" o:hrstd="t" o:hr="t" fillcolor="#a0a0a0" stroked="f"/>
        </w:pict>
      </w:r>
    </w:p>
    <w:p w14:paraId="5B7070AA"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Good feedback! We have addressed Q6 then. Q7: I think it's already touched. The key is strengthening local cooperatives and farmers and integrating them as key actors. It is somehow related to value creation, translation, recognition and capture. Please review them again as an example of how we address this issue. Q7. Now the concept of credence attributes (like trust?). I think it is quite clear. The key is transparency and feedback, which help build credence.</w:t>
      </w:r>
    </w:p>
    <w:p w14:paraId="5B7070AB"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0AC" w14:textId="77777777" w:rsidR="00FB019D" w:rsidRDefault="00000000">
      <w:pPr>
        <w:numPr>
          <w:ilvl w:val="0"/>
          <w:numId w:val="45"/>
        </w:numPr>
        <w:pBdr>
          <w:top w:val="nil"/>
          <w:left w:val="nil"/>
          <w:bottom w:val="nil"/>
          <w:right w:val="nil"/>
          <w:between w:val="nil"/>
        </w:pBdr>
        <w:spacing w:before="0" w:after="0"/>
        <w:ind w:right="0"/>
      </w:pPr>
      <w:r>
        <w:rPr>
          <w:i/>
          <w:iCs/>
        </w:rPr>
        <w:t>Q7:</w:t>
      </w:r>
      <w:r>
        <w:t xml:space="preserve"> "In export-oriented and commodity-driven chains, what institutional mechanisms ensure that the economic value created by improved environmental resilience and product quality is captured at the farm gate rather than absorbed entirely by midstream intermediaries?"</w:t>
      </w:r>
    </w:p>
    <w:p w14:paraId="5B7070AD" w14:textId="77777777" w:rsidR="00FB019D" w:rsidRDefault="00000000">
      <w:pPr>
        <w:numPr>
          <w:ilvl w:val="0"/>
          <w:numId w:val="45"/>
        </w:numPr>
        <w:pBdr>
          <w:top w:val="nil"/>
          <w:left w:val="nil"/>
          <w:bottom w:val="nil"/>
          <w:right w:val="nil"/>
          <w:between w:val="nil"/>
        </w:pBdr>
        <w:spacing w:before="0" w:after="0"/>
        <w:ind w:right="0"/>
      </w:pPr>
      <w:r>
        <w:rPr>
          <w:i/>
          <w:iCs/>
        </w:rPr>
        <w:t>Q8:</w:t>
      </w:r>
      <w:r>
        <w:t xml:space="preserve"> "When environmental and social attributes function strictly as credence goods, how can digital transparency and traceability technologies (such as blockchain or lightweight QR ecosystems) mitigate consumer skepticism without introducing prohibitive compliance and digital literacy barriers for smallholders?"</w:t>
      </w:r>
    </w:p>
    <w:p w14:paraId="5B7070AE" w14:textId="77777777" w:rsidR="00FB019D" w:rsidRDefault="00000000">
      <w:pPr>
        <w:pStyle w:val="Heading3"/>
        <w:spacing w:after="320"/>
      </w:pPr>
      <w:r>
        <w:t>Expert Critique &amp; Systems-Thinking Analysis</w:t>
      </w:r>
    </w:p>
    <w:p w14:paraId="5B7070AF" w14:textId="77777777" w:rsidR="00FB019D" w:rsidRDefault="00000000">
      <w:pPr>
        <w:pBdr>
          <w:top w:val="nil"/>
          <w:left w:val="nil"/>
          <w:bottom w:val="nil"/>
          <w:right w:val="nil"/>
          <w:between w:val="nil"/>
        </w:pBdr>
        <w:spacing w:before="0" w:after="320"/>
        <w:ind w:left="0" w:right="0"/>
      </w:pPr>
      <w:r>
        <w:t xml:space="preserve">Your synthesis hits the absolute nail on the head. Addressing </w:t>
      </w:r>
      <w:r>
        <w:rPr>
          <w:b/>
          <w:bCs/>
        </w:rPr>
        <w:t>Q7 and Q8</w:t>
      </w:r>
      <w:r>
        <w:t xml:space="preserve"> requires mapping how our framework's four core processes—</w:t>
      </w:r>
      <w:r>
        <w:rPr>
          <w:b/>
          <w:bCs/>
        </w:rPr>
        <w:t>Value Creation, Translation, Recognition, and Capture</w:t>
      </w:r>
      <w:r>
        <w:t>—operate in practice, and how transparency and feedback resolve the "credence dilemma."</w:t>
      </w:r>
    </w:p>
    <w:p w14:paraId="5B7070B0" w14:textId="77777777" w:rsidR="00FB019D" w:rsidRDefault="00000000">
      <w:pPr>
        <w:pBdr>
          <w:top w:val="nil"/>
          <w:left w:val="nil"/>
          <w:bottom w:val="nil"/>
          <w:right w:val="nil"/>
          <w:between w:val="nil"/>
        </w:pBdr>
        <w:spacing w:before="0" w:after="320"/>
        <w:ind w:left="0" w:right="0"/>
      </w:pPr>
      <w:r>
        <w:t>Let’s review how these concepts connect to your insights on cooperatives, transparency, and value capture:</w:t>
      </w:r>
    </w:p>
    <w:p w14:paraId="5B7070B1" w14:textId="77777777" w:rsidR="00FB019D" w:rsidRDefault="00000000">
      <w:pPr>
        <w:pStyle w:val="Heading3"/>
        <w:spacing w:before="0" w:after="320"/>
      </w:pPr>
      <w:r>
        <w:t>1. Re-visiting the Four Processes through Q7 (Value Capture &amp; Cooperatives)</w:t>
      </w:r>
    </w:p>
    <w:p w14:paraId="5B7070B2" w14:textId="77777777" w:rsidR="00FB019D" w:rsidRDefault="00000000">
      <w:pPr>
        <w:pBdr>
          <w:top w:val="nil"/>
          <w:left w:val="nil"/>
          <w:bottom w:val="nil"/>
          <w:right w:val="nil"/>
          <w:between w:val="nil"/>
        </w:pBdr>
        <w:spacing w:before="0" w:after="320"/>
        <w:ind w:left="0" w:right="0"/>
      </w:pPr>
      <w:r>
        <w:t xml:space="preserve">In typical commodity or export chains (such as cashew, rice, or shrimp), the breakdown happens not because value isn't </w:t>
      </w:r>
      <w:r>
        <w:rPr>
          <w:i/>
          <w:iCs/>
        </w:rPr>
        <w:t>created</w:t>
      </w:r>
      <w:r>
        <w:t xml:space="preserve"> on the farm, but because it gets lost before reaching the producer:</w:t>
      </w:r>
    </w:p>
    <w:p w14:paraId="5B7070B3" w14:textId="77777777" w:rsidR="00FB019D" w:rsidRDefault="00000000">
      <w:pPr>
        <w:numPr>
          <w:ilvl w:val="0"/>
          <w:numId w:val="46"/>
        </w:numPr>
        <w:pBdr>
          <w:top w:val="nil"/>
          <w:left w:val="nil"/>
          <w:bottom w:val="nil"/>
          <w:right w:val="nil"/>
          <w:between w:val="nil"/>
        </w:pBdr>
        <w:spacing w:before="0" w:after="0"/>
        <w:ind w:right="0"/>
      </w:pPr>
      <w:r>
        <w:rPr>
          <w:b/>
          <w:bCs/>
        </w:rPr>
        <w:t>Value Creation:</w:t>
      </w:r>
      <w:r>
        <w:t xml:space="preserve"> Farmers adopt regenerative practices (e.g., cover crops, reduced agrochemicals), creating environmental and health value.</w:t>
      </w:r>
    </w:p>
    <w:p w14:paraId="5B7070B4" w14:textId="77777777" w:rsidR="00FB019D" w:rsidRDefault="00000000">
      <w:pPr>
        <w:numPr>
          <w:ilvl w:val="0"/>
          <w:numId w:val="46"/>
        </w:numPr>
        <w:pBdr>
          <w:top w:val="nil"/>
          <w:left w:val="nil"/>
          <w:bottom w:val="nil"/>
          <w:right w:val="nil"/>
          <w:between w:val="nil"/>
        </w:pBdr>
        <w:spacing w:before="0" w:after="0"/>
        <w:ind w:right="0"/>
      </w:pPr>
      <w:r>
        <w:rPr>
          <w:b/>
          <w:bCs/>
        </w:rPr>
        <w:t>Value Translation:</w:t>
      </w:r>
      <w:r>
        <w:t xml:space="preserve"> Certification schemes or buyer standards attempt to codify these practices. However, if individual smallholders must bear the compliance cost alone, translation acts as a barrier. </w:t>
      </w:r>
      <w:r>
        <w:rPr>
          <w:i/>
          <w:iCs/>
        </w:rPr>
        <w:t>This is where cooperatives become vital.</w:t>
      </w:r>
      <w:r>
        <w:t xml:space="preserve"> By organizing collective group certification and bulk </w:t>
      </w:r>
      <w:r>
        <w:lastRenderedPageBreak/>
        <w:t>aggregation, cooperatives drastically lower the transaction cost of translation.</w:t>
      </w:r>
    </w:p>
    <w:p w14:paraId="5B7070B5" w14:textId="77777777" w:rsidR="00FB019D" w:rsidRDefault="00000000">
      <w:pPr>
        <w:numPr>
          <w:ilvl w:val="0"/>
          <w:numId w:val="46"/>
        </w:numPr>
        <w:pBdr>
          <w:top w:val="nil"/>
          <w:left w:val="nil"/>
          <w:bottom w:val="nil"/>
          <w:right w:val="nil"/>
          <w:between w:val="nil"/>
        </w:pBdr>
        <w:spacing w:before="0" w:after="0"/>
        <w:ind w:right="0"/>
      </w:pPr>
      <w:r>
        <w:rPr>
          <w:b/>
          <w:bCs/>
        </w:rPr>
        <w:t>Value Recognition:</w:t>
      </w:r>
      <w:r>
        <w:t xml:space="preserve"> Urban consumers or foreign buyers recognize the product's safety or quality attributes and pay a premium.</w:t>
      </w:r>
    </w:p>
    <w:p w14:paraId="5B7070B6" w14:textId="77777777" w:rsidR="00FB019D" w:rsidRDefault="00000000">
      <w:pPr>
        <w:numPr>
          <w:ilvl w:val="0"/>
          <w:numId w:val="46"/>
        </w:numPr>
        <w:pBdr>
          <w:top w:val="nil"/>
          <w:left w:val="nil"/>
          <w:bottom w:val="nil"/>
          <w:right w:val="nil"/>
          <w:between w:val="nil"/>
        </w:pBdr>
        <w:spacing w:before="0" w:after="0"/>
        <w:ind w:right="0"/>
      </w:pPr>
      <w:r>
        <w:rPr>
          <w:b/>
          <w:bCs/>
        </w:rPr>
        <w:t>Value Capture (The Bottleneck):</w:t>
      </w:r>
      <w:r>
        <w:t xml:space="preserve"> Recognition means nothing if the premium is absorbed by midstream collectors, lenders, or traders. </w:t>
      </w:r>
      <w:r>
        <w:rPr>
          <w:b/>
          <w:bCs/>
        </w:rPr>
        <w:t>Strengthening local cooperatives integrates them as structural market actors</w:t>
      </w:r>
      <w:r>
        <w:t xml:space="preserve">, giving smallholders the collective bargaining power and direct market channels needed to ensure that economic value is actually </w:t>
      </w:r>
      <w:r>
        <w:rPr>
          <w:i/>
          <w:iCs/>
        </w:rPr>
        <w:t>captured</w:t>
      </w:r>
      <w:r>
        <w:t xml:space="preserve"> at the farm gate rather than stripped away upstream.</w:t>
      </w:r>
    </w:p>
    <w:p w14:paraId="5B7070B7" w14:textId="77777777" w:rsidR="00FB019D" w:rsidRDefault="00000000">
      <w:pPr>
        <w:pStyle w:val="Heading3"/>
        <w:spacing w:after="320"/>
      </w:pPr>
      <w:r>
        <w:t>2. Addressing Q8: Credence Attributes, Transparency, and Feedback Loops</w:t>
      </w:r>
    </w:p>
    <w:p w14:paraId="5B7070B8" w14:textId="77777777" w:rsidR="00FB019D" w:rsidRDefault="00000000">
      <w:pPr>
        <w:pBdr>
          <w:top w:val="nil"/>
          <w:left w:val="nil"/>
          <w:bottom w:val="nil"/>
          <w:right w:val="nil"/>
          <w:between w:val="nil"/>
        </w:pBdr>
        <w:spacing w:before="0" w:after="320"/>
        <w:ind w:left="0" w:right="0"/>
      </w:pPr>
      <w:r>
        <w:t xml:space="preserve">As you noted, credence attributes (like environmental sustainability, fair labor, or chemical-free production) rely entirely on </w:t>
      </w:r>
      <w:r>
        <w:rPr>
          <w:b/>
          <w:bCs/>
        </w:rPr>
        <w:t>trust</w:t>
      </w:r>
      <w:r>
        <w:t xml:space="preserve"> because consumers cannot verify them by simply looking at or tasting the food.</w:t>
      </w:r>
    </w:p>
    <w:p w14:paraId="5B7070B9" w14:textId="77777777" w:rsidR="00FB019D" w:rsidRDefault="00000000">
      <w:pPr>
        <w:numPr>
          <w:ilvl w:val="0"/>
          <w:numId w:val="47"/>
        </w:numPr>
        <w:pBdr>
          <w:top w:val="nil"/>
          <w:left w:val="nil"/>
          <w:bottom w:val="nil"/>
          <w:right w:val="nil"/>
          <w:between w:val="nil"/>
        </w:pBdr>
        <w:spacing w:before="0" w:after="0"/>
        <w:ind w:right="0"/>
      </w:pPr>
      <w:r>
        <w:rPr>
          <w:b/>
          <w:bCs/>
        </w:rPr>
        <w:t>The Transparency Trap:</w:t>
      </w:r>
      <w:r>
        <w:t xml:space="preserve"> Modern solutions often throw complex technologies at this problem—expensive blockchain networks or heavy QR-code systems. But for smallholder-dominated chains in LMICs, high-tech transparency often backfires by introducing prohibitive digital literacy burdens and compliance costs.</w:t>
      </w:r>
    </w:p>
    <w:p w14:paraId="5B7070BA" w14:textId="77777777" w:rsidR="00FB019D" w:rsidRDefault="00000000">
      <w:pPr>
        <w:numPr>
          <w:ilvl w:val="0"/>
          <w:numId w:val="47"/>
        </w:numPr>
        <w:pBdr>
          <w:top w:val="nil"/>
          <w:left w:val="nil"/>
          <w:bottom w:val="nil"/>
          <w:right w:val="nil"/>
          <w:between w:val="nil"/>
        </w:pBdr>
        <w:spacing w:before="0" w:after="0"/>
        <w:ind w:right="0"/>
      </w:pPr>
      <w:r>
        <w:rPr>
          <w:b/>
          <w:bCs/>
        </w:rPr>
        <w:t>The Solution—Feedback &amp; Lightweight Trust Infrastructure:</w:t>
      </w:r>
      <w:r>
        <w:t xml:space="preserve"> True transparency doesn't require high-tech surveillance; it requires </w:t>
      </w:r>
      <w:r>
        <w:rPr>
          <w:b/>
          <w:bCs/>
        </w:rPr>
        <w:t>credible, two-way feedback loops</w:t>
      </w:r>
      <w:r>
        <w:t>.</w:t>
      </w:r>
    </w:p>
    <w:p w14:paraId="5B7070BB" w14:textId="77777777" w:rsidR="00FB019D" w:rsidRDefault="00000000">
      <w:pPr>
        <w:numPr>
          <w:ilvl w:val="1"/>
          <w:numId w:val="48"/>
        </w:numPr>
        <w:pBdr>
          <w:top w:val="nil"/>
          <w:left w:val="nil"/>
          <w:bottom w:val="nil"/>
          <w:right w:val="nil"/>
          <w:between w:val="nil"/>
        </w:pBdr>
        <w:spacing w:before="0" w:after="0"/>
        <w:ind w:right="0"/>
      </w:pPr>
      <w:r>
        <w:t xml:space="preserve">This is why models like </w:t>
      </w:r>
      <w:r>
        <w:rPr>
          <w:b/>
          <w:bCs/>
        </w:rPr>
        <w:t>Participatory Guarantee Systems (PGS)</w:t>
      </w:r>
      <w:r>
        <w:t xml:space="preserve"> or cooperative-led traceability work so well: they rely on peer-to-peer verification and local social accountability.</w:t>
      </w:r>
    </w:p>
    <w:p w14:paraId="5B7070BC" w14:textId="77777777" w:rsidR="00FB019D" w:rsidRDefault="00000000">
      <w:pPr>
        <w:numPr>
          <w:ilvl w:val="1"/>
          <w:numId w:val="48"/>
        </w:numPr>
        <w:pBdr>
          <w:top w:val="nil"/>
          <w:left w:val="nil"/>
          <w:bottom w:val="nil"/>
          <w:right w:val="nil"/>
          <w:between w:val="nil"/>
        </w:pBdr>
        <w:spacing w:before="0" w:after="0"/>
        <w:ind w:right="0"/>
      </w:pPr>
      <w:r>
        <w:t>When transparency systems provide direct, simple feedback loops (connecting urban buyers or institutional purchasers directly to the cooperative or farming community), they build institutional trust without pricing smallholders out of the market.</w:t>
      </w:r>
    </w:p>
    <w:p w14:paraId="5B7070BD" w14:textId="77777777" w:rsidR="00FB019D" w:rsidRDefault="00000000">
      <w:pPr>
        <w:pBdr>
          <w:top w:val="nil"/>
          <w:left w:val="nil"/>
          <w:bottom w:val="nil"/>
          <w:right w:val="nil"/>
          <w:between w:val="nil"/>
        </w:pBdr>
        <w:spacing w:before="320" w:after="320"/>
        <w:ind w:left="0" w:right="0"/>
      </w:pPr>
      <w:r>
        <w:t xml:space="preserve">We have now systematically walked through how cooperative power solves </w:t>
      </w:r>
      <w:r>
        <w:rPr>
          <w:b/>
          <w:bCs/>
        </w:rPr>
        <w:t>value capture (Q7)</w:t>
      </w:r>
      <w:r>
        <w:t xml:space="preserve"> and how transparency/feedback solves </w:t>
      </w:r>
      <w:r>
        <w:rPr>
          <w:b/>
          <w:bCs/>
        </w:rPr>
        <w:t>credence and trust (Q8)</w:t>
      </w:r>
      <w:r>
        <w:t>!</w:t>
      </w:r>
    </w:p>
    <w:p w14:paraId="5B7070BE" w14:textId="77777777" w:rsidR="00FB019D" w:rsidRDefault="00000000">
      <w:pPr>
        <w:pBdr>
          <w:top w:val="nil"/>
          <w:left w:val="nil"/>
          <w:bottom w:val="nil"/>
          <w:right w:val="nil"/>
          <w:between w:val="nil"/>
        </w:pBdr>
        <w:spacing w:before="0" w:after="320"/>
        <w:ind w:left="0" w:right="0"/>
      </w:pPr>
      <w:r>
        <w:t>Whenever you are ready, let's move on to the next set of questions or topics you'd like to explore.</w:t>
      </w:r>
    </w:p>
    <w:p w14:paraId="5B7070BF" w14:textId="77777777" w:rsidR="00FB019D" w:rsidRDefault="00000000">
      <w:pPr>
        <w:pBdr>
          <w:top w:val="nil"/>
          <w:left w:val="nil"/>
          <w:bottom w:val="nil"/>
          <w:right w:val="nil"/>
          <w:between w:val="nil"/>
        </w:pBdr>
        <w:spacing w:before="0" w:after="0"/>
        <w:ind w:left="0" w:right="0"/>
      </w:pPr>
      <w:r>
        <w:pict w14:anchorId="5B7072EB">
          <v:rect id="_x0000_i1039" style="width:0;height:1.5pt" o:hralign="center" o:hrstd="t" o:hr="t" fillcolor="#a0a0a0" stroked="f"/>
        </w:pict>
      </w:r>
    </w:p>
    <w:p w14:paraId="5B7070C0"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Okay summarize our answers to Q3-Q8.</w:t>
      </w:r>
    </w:p>
    <w:p w14:paraId="5B7070C1" w14:textId="77777777" w:rsidR="00FB019D" w:rsidRDefault="00000000">
      <w:pPr>
        <w:pBdr>
          <w:top w:val="nil"/>
          <w:left w:val="nil"/>
          <w:bottom w:val="nil"/>
          <w:right w:val="nil"/>
          <w:between w:val="nil"/>
        </w:pBdr>
        <w:spacing w:before="0" w:after="320"/>
        <w:ind w:left="0" w:right="0"/>
      </w:pPr>
      <w:r>
        <w:t xml:space="preserve">Response: Here is the summary of our expert critiques and systems-thinking discussions addressing </w:t>
      </w:r>
      <w:r>
        <w:rPr>
          <w:b/>
          <w:bCs/>
        </w:rPr>
        <w:t>Questions 3 through 8</w:t>
      </w:r>
      <w:r>
        <w:t>:</w:t>
      </w:r>
    </w:p>
    <w:p w14:paraId="5B7070C2" w14:textId="77777777" w:rsidR="00FB019D" w:rsidRDefault="00000000">
      <w:pPr>
        <w:pStyle w:val="Heading3"/>
        <w:spacing w:before="0" w:after="255"/>
      </w:pPr>
      <w:r>
        <w:t>Summary of Analysis for Questions 3–8</w:t>
      </w:r>
    </w:p>
    <w:p w14:paraId="5B7070C3" w14:textId="77777777" w:rsidR="00FB019D" w:rsidRDefault="00000000">
      <w:pPr>
        <w:pStyle w:val="Heading4"/>
        <w:spacing w:before="0"/>
      </w:pPr>
      <w:r>
        <w:t>Q3: Regional Trading Blocs (ASEAN) &amp; Sovereign Implementation</w:t>
      </w:r>
    </w:p>
    <w:p w14:paraId="5B7070C4" w14:textId="77777777" w:rsidR="00FB019D" w:rsidRDefault="00000000">
      <w:pPr>
        <w:numPr>
          <w:ilvl w:val="0"/>
          <w:numId w:val="49"/>
        </w:numPr>
        <w:pBdr>
          <w:top w:val="nil"/>
          <w:left w:val="nil"/>
          <w:bottom w:val="nil"/>
          <w:right w:val="nil"/>
          <w:between w:val="nil"/>
        </w:pBdr>
        <w:spacing w:before="0" w:after="0"/>
        <w:ind w:right="0"/>
      </w:pPr>
      <w:r>
        <w:rPr>
          <w:b/>
          <w:bCs/>
        </w:rPr>
        <w:t>Original Question:</w:t>
      </w:r>
      <w:r>
        <w:t xml:space="preserve"> </w:t>
      </w:r>
      <w:r>
        <w:rPr>
          <w:i/>
          <w:iCs/>
        </w:rPr>
        <w:t>In regional trading blocs like ASEAN, how can mutual recognition agreements for sustainable production standards be operationalized to prevent technical trade barriers while protecting domestic producers from uneven compliance costs?</w:t>
      </w:r>
    </w:p>
    <w:p w14:paraId="5B7070C5" w14:textId="77777777" w:rsidR="00FB019D" w:rsidRDefault="00000000">
      <w:pPr>
        <w:numPr>
          <w:ilvl w:val="0"/>
          <w:numId w:val="49"/>
        </w:numPr>
        <w:pBdr>
          <w:top w:val="nil"/>
          <w:left w:val="nil"/>
          <w:bottom w:val="nil"/>
          <w:right w:val="nil"/>
          <w:between w:val="nil"/>
        </w:pBdr>
        <w:spacing w:before="0" w:after="0"/>
        <w:ind w:right="0"/>
      </w:pPr>
      <w:r>
        <w:rPr>
          <w:b/>
          <w:bCs/>
        </w:rPr>
        <w:t>Summary:</w:t>
      </w:r>
      <w:r>
        <w:t xml:space="preserve"> Because ASEAN operates via consensus and non-binding "soft law", top-down regional mandates cannot force national policy changes. Instead, regional platforms (e.g., ASEAN-CGIAR IP1+) serve as </w:t>
      </w:r>
      <w:r>
        <w:rPr>
          <w:b/>
          <w:bCs/>
        </w:rPr>
        <w:t>norm-setting, benchmarking, and market-facilitating bodies</w:t>
      </w:r>
      <w:r>
        <w:t xml:space="preserve">. They succeed by </w:t>
      </w:r>
      <w:r>
        <w:lastRenderedPageBreak/>
        <w:t>developing mutual recognition guidelines to harmonize national standards (e.g., aligning CamGAP/VietGAP with ASEAN GAP), lowering cross-border compliance costs for smallholders and providing political momentum for national ministries to fund cooperative-led green transitions.</w:t>
      </w:r>
    </w:p>
    <w:p w14:paraId="5B7070C6" w14:textId="77777777" w:rsidR="00FB019D" w:rsidRDefault="00000000">
      <w:pPr>
        <w:pStyle w:val="Heading4"/>
      </w:pPr>
      <w:r>
        <w:t>Q4: Transforming Public Procurement &amp; School Feeding</w:t>
      </w:r>
    </w:p>
    <w:p w14:paraId="5B7070C7" w14:textId="77777777" w:rsidR="00FB019D" w:rsidRDefault="00000000">
      <w:pPr>
        <w:numPr>
          <w:ilvl w:val="0"/>
          <w:numId w:val="50"/>
        </w:numPr>
        <w:pBdr>
          <w:top w:val="nil"/>
          <w:left w:val="nil"/>
          <w:bottom w:val="nil"/>
          <w:right w:val="nil"/>
          <w:between w:val="nil"/>
        </w:pBdr>
        <w:spacing w:before="0" w:after="0"/>
        <w:ind w:right="0"/>
      </w:pPr>
      <w:r>
        <w:rPr>
          <w:b/>
          <w:bCs/>
        </w:rPr>
        <w:t>Original Question:</w:t>
      </w:r>
      <w:r>
        <w:t xml:space="preserve"> </w:t>
      </w:r>
      <w:r>
        <w:rPr>
          <w:i/>
          <w:iCs/>
        </w:rPr>
        <w:t>What regulatory reforms and fiscal flexibilities are required to transform national school feeding and public food procurement programs into stable, long-term market anchors for localized regenerative agri-food products?</w:t>
      </w:r>
    </w:p>
    <w:p w14:paraId="5B7070C8" w14:textId="77777777" w:rsidR="00FB019D" w:rsidRDefault="00000000">
      <w:pPr>
        <w:numPr>
          <w:ilvl w:val="0"/>
          <w:numId w:val="50"/>
        </w:numPr>
        <w:pBdr>
          <w:top w:val="nil"/>
          <w:left w:val="nil"/>
          <w:bottom w:val="nil"/>
          <w:right w:val="nil"/>
          <w:between w:val="nil"/>
        </w:pBdr>
        <w:spacing w:before="0" w:after="0"/>
        <w:ind w:right="0"/>
      </w:pPr>
      <w:r>
        <w:rPr>
          <w:b/>
          <w:bCs/>
        </w:rPr>
        <w:t>Summary:</w:t>
      </w:r>
      <w:r>
        <w:t xml:space="preserve"> Public food procurement (e.g., Home-Grown School Feeding) is the only market mechanism that acts on </w:t>
      </w:r>
      <w:r>
        <w:rPr>
          <w:b/>
          <w:bCs/>
        </w:rPr>
        <w:t>value recognition and value capture simultaneously</w:t>
      </w:r>
      <w:r>
        <w:t xml:space="preserve">. Because state institutions act as stable, non-household buyers, procurement reforms can de-risk smallholder transitions. Given tight LMIC budgets, the most pragmatic first step is incrementally establishing </w:t>
      </w:r>
      <w:r>
        <w:rPr>
          <w:b/>
          <w:bCs/>
        </w:rPr>
        <w:t>food safety, residue compliance, and local cooperative sourcing quotas</w:t>
      </w:r>
      <w:r>
        <w:t xml:space="preserve"> rather than immediately mandating expensive third-party regenerative certifications.</w:t>
      </w:r>
    </w:p>
    <w:p w14:paraId="5B7070C9" w14:textId="77777777" w:rsidR="00FB019D" w:rsidRDefault="00000000">
      <w:pPr>
        <w:pStyle w:val="Heading4"/>
      </w:pPr>
      <w:r>
        <w:t>Q5: Designing and Operationalizing Actionable "Policy Mixes"</w:t>
      </w:r>
    </w:p>
    <w:p w14:paraId="5B7070CA" w14:textId="77777777" w:rsidR="00FB019D" w:rsidRDefault="00000000">
      <w:pPr>
        <w:numPr>
          <w:ilvl w:val="0"/>
          <w:numId w:val="51"/>
        </w:numPr>
        <w:pBdr>
          <w:top w:val="nil"/>
          <w:left w:val="nil"/>
          <w:bottom w:val="nil"/>
          <w:right w:val="nil"/>
          <w:between w:val="nil"/>
        </w:pBdr>
        <w:spacing w:before="0" w:after="0"/>
        <w:ind w:right="0"/>
      </w:pPr>
      <w:r>
        <w:rPr>
          <w:b/>
          <w:bCs/>
        </w:rPr>
        <w:t>Original Question:</w:t>
      </w:r>
      <w:r>
        <w:t xml:space="preserve"> </w:t>
      </w:r>
      <w:r>
        <w:rPr>
          <w:i/>
          <w:iCs/>
        </w:rPr>
        <w:t>How can policy mixes effectively deploy elements of "creative destruction"—simultaneously withdrawing support for input-intensive, extractive production models while protecting vulnerable smallholders during the multi-year transition phase?</w:t>
      </w:r>
    </w:p>
    <w:p w14:paraId="5B7070CB" w14:textId="77777777" w:rsidR="00FB019D" w:rsidRDefault="00000000">
      <w:pPr>
        <w:numPr>
          <w:ilvl w:val="0"/>
          <w:numId w:val="51"/>
        </w:numPr>
        <w:pBdr>
          <w:top w:val="nil"/>
          <w:left w:val="nil"/>
          <w:bottom w:val="nil"/>
          <w:right w:val="nil"/>
          <w:between w:val="nil"/>
        </w:pBdr>
        <w:spacing w:before="0" w:after="0"/>
        <w:ind w:right="0"/>
      </w:pPr>
      <w:r>
        <w:rPr>
          <w:b/>
          <w:bCs/>
        </w:rPr>
        <w:t>Summary:</w:t>
      </w:r>
      <w:r>
        <w:t xml:space="preserve"> Policy mixes fail when push measures (bio-input extension) are overwhelmed by incumbent support (subsidized synthetic fertilizers). A successful policy mix requires a </w:t>
      </w:r>
      <w:r>
        <w:rPr>
          <w:b/>
          <w:bCs/>
        </w:rPr>
        <w:t>synchronized three-phase sequence</w:t>
      </w:r>
      <w:r>
        <w:t>:</w:t>
      </w:r>
    </w:p>
    <w:p w14:paraId="5B7070CC" w14:textId="77777777" w:rsidR="00FB019D" w:rsidRDefault="00000000">
      <w:pPr>
        <w:numPr>
          <w:ilvl w:val="1"/>
          <w:numId w:val="53"/>
        </w:numPr>
        <w:pBdr>
          <w:top w:val="nil"/>
          <w:left w:val="nil"/>
          <w:bottom w:val="nil"/>
          <w:right w:val="nil"/>
          <w:between w:val="nil"/>
        </w:pBdr>
        <w:spacing w:before="0" w:after="0"/>
        <w:ind w:right="0"/>
      </w:pPr>
      <w:r>
        <w:rPr>
          <w:i/>
          <w:iCs/>
        </w:rPr>
        <w:t>De-risk and build capacity</w:t>
      </w:r>
      <w:r>
        <w:t xml:space="preserve"> via transition finance and cooperative support;</w:t>
      </w:r>
    </w:p>
    <w:p w14:paraId="5B7070CD" w14:textId="77777777" w:rsidR="00FB019D" w:rsidRDefault="00000000">
      <w:pPr>
        <w:numPr>
          <w:ilvl w:val="1"/>
          <w:numId w:val="53"/>
        </w:numPr>
        <w:pBdr>
          <w:top w:val="nil"/>
          <w:left w:val="nil"/>
          <w:bottom w:val="nil"/>
          <w:right w:val="nil"/>
          <w:between w:val="nil"/>
        </w:pBdr>
        <w:spacing w:before="0" w:after="0"/>
        <w:ind w:right="0"/>
      </w:pPr>
      <w:r>
        <w:rPr>
          <w:i/>
          <w:iCs/>
        </w:rPr>
        <w:t>Create market pull</w:t>
      </w:r>
      <w:r>
        <w:t xml:space="preserve"> through low-cost verification (PGS/GAP) and public procurement;</w:t>
      </w:r>
    </w:p>
    <w:p w14:paraId="5B7070CE" w14:textId="77777777" w:rsidR="00FB019D" w:rsidRDefault="00000000">
      <w:pPr>
        <w:numPr>
          <w:ilvl w:val="1"/>
          <w:numId w:val="53"/>
        </w:numPr>
        <w:pBdr>
          <w:top w:val="nil"/>
          <w:left w:val="nil"/>
          <w:bottom w:val="nil"/>
          <w:right w:val="nil"/>
          <w:between w:val="nil"/>
        </w:pBdr>
        <w:spacing w:before="0" w:after="0"/>
        <w:ind w:right="0"/>
      </w:pPr>
      <w:r>
        <w:rPr>
          <w:i/>
          <w:iCs/>
        </w:rPr>
        <w:t>Phase out perverse subsidies</w:t>
      </w:r>
      <w:r>
        <w:t xml:space="preserve"> and reallocate chemical taxes into a public cooperative transition fund.</w:t>
      </w:r>
    </w:p>
    <w:p w14:paraId="5B7070CF" w14:textId="77777777" w:rsidR="00FB019D" w:rsidRDefault="00000000">
      <w:pPr>
        <w:pStyle w:val="Heading4"/>
      </w:pPr>
      <w:r>
        <w:t>Q6: Transition Finance &amp; Implementation in Weak-Capacity LMICs</w:t>
      </w:r>
    </w:p>
    <w:p w14:paraId="5B7070D0" w14:textId="77777777" w:rsidR="00FB019D" w:rsidRDefault="00000000">
      <w:pPr>
        <w:numPr>
          <w:ilvl w:val="0"/>
          <w:numId w:val="54"/>
        </w:numPr>
        <w:pBdr>
          <w:top w:val="nil"/>
          <w:left w:val="nil"/>
          <w:bottom w:val="nil"/>
          <w:right w:val="nil"/>
          <w:between w:val="nil"/>
        </w:pBdr>
        <w:spacing w:before="0" w:after="0"/>
        <w:ind w:right="0"/>
      </w:pPr>
      <w:r>
        <w:rPr>
          <w:b/>
          <w:bCs/>
        </w:rPr>
        <w:t>Original Question:</w:t>
      </w:r>
      <w:r>
        <w:t xml:space="preserve"> </w:t>
      </w:r>
      <w:r>
        <w:rPr>
          <w:i/>
          <w:iCs/>
        </w:rPr>
        <w:t>Given that regenerative practices often incur initial yield penalties and high upfront labor costs, what blended finance architectures and risk-sharing mechanisms (e.g., transition insurance, carbon credits, or targeted subsidies) are required to bridge the multi-season revenue gap?</w:t>
      </w:r>
    </w:p>
    <w:p w14:paraId="5B7070D1" w14:textId="77777777" w:rsidR="00FB019D" w:rsidRDefault="00000000">
      <w:pPr>
        <w:numPr>
          <w:ilvl w:val="0"/>
          <w:numId w:val="54"/>
        </w:numPr>
        <w:pBdr>
          <w:top w:val="nil"/>
          <w:left w:val="nil"/>
          <w:bottom w:val="nil"/>
          <w:right w:val="nil"/>
          <w:between w:val="nil"/>
        </w:pBdr>
        <w:spacing w:before="0" w:after="0"/>
        <w:ind w:right="0"/>
      </w:pPr>
      <w:r>
        <w:rPr>
          <w:b/>
          <w:bCs/>
        </w:rPr>
        <w:t>Summary:</w:t>
      </w:r>
      <w:r>
        <w:t xml:space="preserve"> Top-down blended finance and complex index insurance often stall in LMICs due to weak administrative capacity and fragmented state institutions. Operationalizing transition finance requires </w:t>
      </w:r>
      <w:r>
        <w:rPr>
          <w:b/>
          <w:bCs/>
        </w:rPr>
        <w:t>grounded, low-cost institutional conduits</w:t>
      </w:r>
      <w:r>
        <w:t>:</w:t>
      </w:r>
    </w:p>
    <w:p w14:paraId="5B7070D2" w14:textId="77777777" w:rsidR="00FB019D" w:rsidRDefault="00000000">
      <w:pPr>
        <w:numPr>
          <w:ilvl w:val="1"/>
          <w:numId w:val="55"/>
        </w:numPr>
        <w:pBdr>
          <w:top w:val="nil"/>
          <w:left w:val="nil"/>
          <w:bottom w:val="nil"/>
          <w:right w:val="nil"/>
          <w:between w:val="nil"/>
        </w:pBdr>
        <w:spacing w:before="0" w:after="0"/>
        <w:ind w:right="0"/>
      </w:pPr>
      <w:r>
        <w:t xml:space="preserve">Channeling transition grants and vouchers </w:t>
      </w:r>
      <w:r>
        <w:rPr>
          <w:i/>
          <w:iCs/>
        </w:rPr>
        <w:t>through</w:t>
      </w:r>
      <w:r>
        <w:t xml:space="preserve"> organized cooperatives/PGS networks;</w:t>
      </w:r>
    </w:p>
    <w:p w14:paraId="5B7070D3" w14:textId="77777777" w:rsidR="00FB019D" w:rsidRDefault="00000000">
      <w:pPr>
        <w:numPr>
          <w:ilvl w:val="1"/>
          <w:numId w:val="55"/>
        </w:numPr>
        <w:pBdr>
          <w:top w:val="nil"/>
          <w:left w:val="nil"/>
          <w:bottom w:val="nil"/>
          <w:right w:val="nil"/>
          <w:between w:val="nil"/>
        </w:pBdr>
        <w:spacing w:before="0" w:after="0"/>
        <w:ind w:right="0"/>
      </w:pPr>
      <w:r>
        <w:t>Integrating transition credit into contract farming and commercial off-taker relationships;</w:t>
      </w:r>
    </w:p>
    <w:p w14:paraId="5B7070D4" w14:textId="77777777" w:rsidR="00FB019D" w:rsidRDefault="00000000">
      <w:pPr>
        <w:numPr>
          <w:ilvl w:val="1"/>
          <w:numId w:val="55"/>
        </w:numPr>
        <w:pBdr>
          <w:top w:val="nil"/>
          <w:left w:val="nil"/>
          <w:bottom w:val="nil"/>
          <w:right w:val="nil"/>
          <w:between w:val="nil"/>
        </w:pBdr>
        <w:spacing w:before="0" w:after="0"/>
        <w:ind w:right="0"/>
      </w:pPr>
      <w:r>
        <w:t>Utilizing localized guarantee funds managed collectively by producer groups.</w:t>
      </w:r>
    </w:p>
    <w:p w14:paraId="5B7070D5" w14:textId="77777777" w:rsidR="00FB019D" w:rsidRDefault="00000000">
      <w:pPr>
        <w:pStyle w:val="Heading4"/>
      </w:pPr>
      <w:r>
        <w:t>Q7: Value Capture at the Farm Gate vs. Midstream Intermediaries</w:t>
      </w:r>
    </w:p>
    <w:p w14:paraId="5B7070D6" w14:textId="77777777" w:rsidR="00FB019D" w:rsidRDefault="00000000">
      <w:pPr>
        <w:numPr>
          <w:ilvl w:val="0"/>
          <w:numId w:val="56"/>
        </w:numPr>
        <w:pBdr>
          <w:top w:val="nil"/>
          <w:left w:val="nil"/>
          <w:bottom w:val="nil"/>
          <w:right w:val="nil"/>
          <w:between w:val="nil"/>
        </w:pBdr>
        <w:spacing w:before="0" w:after="0"/>
        <w:ind w:right="0"/>
      </w:pPr>
      <w:r>
        <w:rPr>
          <w:b/>
          <w:bCs/>
        </w:rPr>
        <w:t>Original Question:</w:t>
      </w:r>
      <w:r>
        <w:t xml:space="preserve"> </w:t>
      </w:r>
      <w:r>
        <w:rPr>
          <w:i/>
          <w:iCs/>
        </w:rPr>
        <w:t>In export-oriented and commodity-driven chains, what institutional mechanisms ensure that the economic value created by improved environmental resilience and product quality is captured at the farm gate rather than absorbed entirely by midstream intermediaries?</w:t>
      </w:r>
    </w:p>
    <w:p w14:paraId="5B7070D7" w14:textId="77777777" w:rsidR="00FB019D" w:rsidRDefault="00000000">
      <w:pPr>
        <w:numPr>
          <w:ilvl w:val="0"/>
          <w:numId w:val="56"/>
        </w:numPr>
        <w:pBdr>
          <w:top w:val="nil"/>
          <w:left w:val="nil"/>
          <w:bottom w:val="nil"/>
          <w:right w:val="nil"/>
          <w:between w:val="nil"/>
        </w:pBdr>
        <w:spacing w:before="0" w:after="0"/>
        <w:ind w:right="0"/>
      </w:pPr>
      <w:r>
        <w:rPr>
          <w:b/>
          <w:bCs/>
        </w:rPr>
        <w:t>Summary:</w:t>
      </w:r>
      <w:r>
        <w:t xml:space="preserve"> Value capture breaks down when smallholders act as isolated price-takers. Organizing farmers into </w:t>
      </w:r>
      <w:r>
        <w:rPr>
          <w:b/>
          <w:bCs/>
        </w:rPr>
        <w:t>strong, legally recognized local cooperatives</w:t>
      </w:r>
      <w:r>
        <w:t xml:space="preserve"> transforms them into structural market actors. Cooperatives lower the transaction costs of value translation (via group certification and bulk aggregation) and provide the collective bargaining power needed to prevent midstream traders, </w:t>
      </w:r>
      <w:r>
        <w:lastRenderedPageBreak/>
        <w:t>lenders, and processors from capturing the price premiums generated on farm.</w:t>
      </w:r>
    </w:p>
    <w:p w14:paraId="5B7070D8" w14:textId="77777777" w:rsidR="00FB019D" w:rsidRDefault="00000000">
      <w:pPr>
        <w:pStyle w:val="Heading4"/>
      </w:pPr>
      <w:r>
        <w:t>Q8: Credence Attributes, Transparency, and Trust Building</w:t>
      </w:r>
    </w:p>
    <w:p w14:paraId="5B7070D9" w14:textId="77777777" w:rsidR="00FB019D" w:rsidRDefault="00000000">
      <w:pPr>
        <w:numPr>
          <w:ilvl w:val="0"/>
          <w:numId w:val="57"/>
        </w:numPr>
        <w:pBdr>
          <w:top w:val="nil"/>
          <w:left w:val="nil"/>
          <w:bottom w:val="nil"/>
          <w:right w:val="nil"/>
          <w:between w:val="nil"/>
        </w:pBdr>
        <w:spacing w:before="0" w:after="0"/>
        <w:ind w:right="0"/>
      </w:pPr>
      <w:r>
        <w:rPr>
          <w:b/>
          <w:bCs/>
        </w:rPr>
        <w:t>Original Question:</w:t>
      </w:r>
      <w:r>
        <w:t xml:space="preserve"> </w:t>
      </w:r>
      <w:r>
        <w:rPr>
          <w:i/>
          <w:iCs/>
        </w:rPr>
        <w:t>When environmental and social attributes function strictly as credence goods, how can digital transparency and traceability technologies (such as blockchain or lightweight QR ecosystems) mitigate consumer skepticism without introducing prohibitive compliance and digital literacy barriers for smallholders?</w:t>
      </w:r>
    </w:p>
    <w:p w14:paraId="5B7070DA" w14:textId="77777777" w:rsidR="00FB019D" w:rsidRDefault="00000000">
      <w:pPr>
        <w:numPr>
          <w:ilvl w:val="0"/>
          <w:numId w:val="57"/>
        </w:numPr>
        <w:pBdr>
          <w:top w:val="nil"/>
          <w:left w:val="nil"/>
          <w:bottom w:val="nil"/>
          <w:right w:val="nil"/>
          <w:between w:val="nil"/>
        </w:pBdr>
        <w:spacing w:before="0" w:after="0"/>
        <w:ind w:right="0"/>
      </w:pPr>
      <w:r>
        <w:rPr>
          <w:b/>
          <w:bCs/>
        </w:rPr>
        <w:t>Summary:</w:t>
      </w:r>
      <w:r>
        <w:t xml:space="preserve"> Because credence attributes (sustainability, safety) cannot be visually verified, building trust requires transparency, but complex digital technologies (like blockchain) often impose heavy cost and digital literacy barriers on smallholders. The solution is </w:t>
      </w:r>
      <w:r>
        <w:rPr>
          <w:b/>
          <w:bCs/>
        </w:rPr>
        <w:t>lightweight, two-way feedback infrastructure</w:t>
      </w:r>
      <w:r>
        <w:t>—such as Participatory Guarantee Systems (PGS) and simple cooperative-led QR systems—that build institutional trust through social accountability, peer verification, and direct producer-consumer linkages.</w:t>
      </w:r>
    </w:p>
    <w:p w14:paraId="5B7070DB" w14:textId="77777777" w:rsidR="00FB019D" w:rsidRDefault="00000000">
      <w:pPr>
        <w:pBdr>
          <w:top w:val="nil"/>
          <w:left w:val="nil"/>
          <w:bottom w:val="nil"/>
          <w:right w:val="nil"/>
          <w:between w:val="nil"/>
        </w:pBdr>
        <w:spacing w:before="320" w:after="320"/>
        <w:ind w:left="0" w:right="0"/>
      </w:pPr>
      <w:r>
        <w:t xml:space="preserve">Whenever you are ready, we can dive into the next block of questions (e.g., </w:t>
      </w:r>
      <w:r>
        <w:rPr>
          <w:b/>
          <w:bCs/>
        </w:rPr>
        <w:t>Q9–Q15 on Consumer Behavior, Choice Architecture, and Commodity Diversification</w:t>
      </w:r>
      <w:r>
        <w:t>)!</w:t>
      </w:r>
    </w:p>
    <w:p w14:paraId="5B7070DC" w14:textId="77777777" w:rsidR="00FB019D" w:rsidRDefault="00000000">
      <w:pPr>
        <w:pBdr>
          <w:top w:val="nil"/>
          <w:left w:val="nil"/>
          <w:bottom w:val="nil"/>
          <w:right w:val="nil"/>
          <w:between w:val="nil"/>
        </w:pBdr>
        <w:spacing w:before="0" w:after="0"/>
        <w:ind w:left="0" w:right="0"/>
      </w:pPr>
      <w:r>
        <w:pict w14:anchorId="5B7072EC">
          <v:rect id="_x0000_i1040" style="width:0;height:1.5pt" o:hralign="center" o:hrstd="t" o:hr="t" fillcolor="#a0a0a0" stroked="f"/>
        </w:pict>
      </w:r>
    </w:p>
    <w:p w14:paraId="5B7070DD"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Btw what is "lemons" problem? Q9. It can, but we should not prioritize them. Diversification is better for both economic risk mitigation, ecological comservation, climate resilience and nutrition. Q10. This is dilemma. PGS is commonly known but I don't think they're internationally recognized as gold standard. In many cases, they need to incorporate other standards which are export-enabling.</w:t>
      </w:r>
    </w:p>
    <w:p w14:paraId="5B7070DE"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0DF" w14:textId="77777777" w:rsidR="00FB019D" w:rsidRDefault="00000000">
      <w:pPr>
        <w:numPr>
          <w:ilvl w:val="0"/>
          <w:numId w:val="58"/>
        </w:numPr>
        <w:pBdr>
          <w:top w:val="nil"/>
          <w:left w:val="nil"/>
          <w:bottom w:val="nil"/>
          <w:right w:val="nil"/>
          <w:between w:val="nil"/>
        </w:pBdr>
        <w:spacing w:before="0" w:after="0"/>
        <w:ind w:right="0"/>
      </w:pPr>
      <w:r>
        <w:rPr>
          <w:i/>
          <w:iCs/>
        </w:rPr>
        <w:t>Q9:</w:t>
      </w:r>
      <w:r>
        <w:t xml:space="preserve"> "Can single-commodity certification schemes ever deliver household-level livelihood security, or does economic resilience inherently require shifting scaling strategies toward diversified farming portfolios and local processing networks?"</w:t>
      </w:r>
    </w:p>
    <w:p w14:paraId="5B7070E0" w14:textId="77777777" w:rsidR="00FB019D" w:rsidRDefault="00000000">
      <w:pPr>
        <w:numPr>
          <w:ilvl w:val="0"/>
          <w:numId w:val="58"/>
        </w:numPr>
        <w:pBdr>
          <w:top w:val="nil"/>
          <w:left w:val="nil"/>
          <w:bottom w:val="nil"/>
          <w:right w:val="nil"/>
          <w:between w:val="nil"/>
        </w:pBdr>
        <w:spacing w:before="0" w:after="0"/>
        <w:ind w:right="0"/>
      </w:pPr>
      <w:r>
        <w:rPr>
          <w:i/>
          <w:iCs/>
        </w:rPr>
        <w:t>Q10:</w:t>
      </w:r>
      <w:r>
        <w:t xml:space="preserve"> "How can verification models evolve past expensive third-party auditing to create scalable, low-cost credibility frameworks that maintain international market access while remaining economically viable for small-scale landholders?"</w:t>
      </w:r>
    </w:p>
    <w:p w14:paraId="5B7070E1" w14:textId="77777777" w:rsidR="00FB019D" w:rsidRDefault="00000000">
      <w:pPr>
        <w:pStyle w:val="Heading3"/>
        <w:spacing w:after="320"/>
      </w:pPr>
      <w:r>
        <w:t>Expert Critique &amp; Systems-Thinking Analysis</w:t>
      </w:r>
    </w:p>
    <w:p w14:paraId="5B7070E2" w14:textId="77777777" w:rsidR="00FB019D" w:rsidRDefault="00000000">
      <w:pPr>
        <w:pBdr>
          <w:top w:val="nil"/>
          <w:left w:val="nil"/>
          <w:bottom w:val="nil"/>
          <w:right w:val="nil"/>
          <w:between w:val="nil"/>
        </w:pBdr>
        <w:spacing w:before="0" w:after="320"/>
        <w:ind w:left="0" w:right="0"/>
      </w:pPr>
      <w:r>
        <w:t xml:space="preserve">Before diving into your thoughts on Q9 and Q10, let's first unpack the </w:t>
      </w:r>
      <w:r>
        <w:rPr>
          <w:b/>
          <w:bCs/>
        </w:rPr>
        <w:t>"lemons" problem</w:t>
      </w:r>
      <w:r>
        <w:t>, which is a foundational concept in information economics that underlies all our discussions on trust, certification, and credence goods.</w:t>
      </w:r>
    </w:p>
    <w:p w14:paraId="5B7070E3" w14:textId="77777777" w:rsidR="00FB019D" w:rsidRDefault="00000000">
      <w:pPr>
        <w:pStyle w:val="Heading3"/>
        <w:spacing w:before="0"/>
      </w:pPr>
      <w:r>
        <w:t>1. What is the "Lemons" Problem?</w:t>
      </w:r>
    </w:p>
    <w:p w14:paraId="5B7070E4" w14:textId="77777777" w:rsidR="00FB019D" w:rsidRDefault="00000000">
      <w:pPr>
        <w:numPr>
          <w:ilvl w:val="0"/>
          <w:numId w:val="59"/>
        </w:numPr>
        <w:pBdr>
          <w:top w:val="nil"/>
          <w:left w:val="nil"/>
          <w:bottom w:val="nil"/>
          <w:right w:val="nil"/>
          <w:between w:val="nil"/>
        </w:pBdr>
        <w:spacing w:before="0" w:after="0"/>
        <w:ind w:right="0"/>
      </w:pPr>
      <w:r>
        <w:rPr>
          <w:b/>
          <w:bCs/>
        </w:rPr>
        <w:t>Origin:</w:t>
      </w:r>
      <w:r>
        <w:t xml:space="preserve"> Coined by economist George Akerlof in his classic 1970 paper, </w:t>
      </w:r>
      <w:r>
        <w:rPr>
          <w:i/>
          <w:iCs/>
        </w:rPr>
        <w:t>"The Market for 'Lemons': Quality Uncertainty and the Market Mechanism"</w:t>
      </w:r>
      <w:r>
        <w:t xml:space="preserve"> (which won him the Nobel Prize).</w:t>
      </w:r>
    </w:p>
    <w:p w14:paraId="5B7070E5" w14:textId="77777777" w:rsidR="00FB019D" w:rsidRDefault="00000000">
      <w:pPr>
        <w:numPr>
          <w:ilvl w:val="0"/>
          <w:numId w:val="59"/>
        </w:numPr>
        <w:pBdr>
          <w:top w:val="nil"/>
          <w:left w:val="nil"/>
          <w:bottom w:val="nil"/>
          <w:right w:val="nil"/>
          <w:between w:val="nil"/>
        </w:pBdr>
        <w:spacing w:before="0" w:after="0"/>
        <w:ind w:right="0"/>
      </w:pPr>
      <w:r>
        <w:rPr>
          <w:b/>
          <w:bCs/>
        </w:rPr>
        <w:t>The Core Concept:</w:t>
      </w:r>
      <w:r>
        <w:t xml:space="preserve"> The "lemons" problem describes a market failure caused by </w:t>
      </w:r>
      <w:r>
        <w:rPr>
          <w:b/>
          <w:bCs/>
        </w:rPr>
        <w:t>information asymmetry</w:t>
      </w:r>
      <w:r>
        <w:t xml:space="preserve"> between buyers and sellers regarding product quality.</w:t>
      </w:r>
    </w:p>
    <w:p w14:paraId="5B7070E6" w14:textId="77777777" w:rsidR="00FB019D" w:rsidRDefault="00000000">
      <w:pPr>
        <w:numPr>
          <w:ilvl w:val="0"/>
          <w:numId w:val="59"/>
        </w:numPr>
        <w:pBdr>
          <w:top w:val="nil"/>
          <w:left w:val="nil"/>
          <w:bottom w:val="nil"/>
          <w:right w:val="nil"/>
          <w:between w:val="nil"/>
        </w:pBdr>
        <w:spacing w:before="0" w:after="0"/>
        <w:ind w:right="0"/>
      </w:pPr>
      <w:r>
        <w:rPr>
          <w:b/>
          <w:bCs/>
        </w:rPr>
        <w:t>How It Works:</w:t>
      </w:r>
      <w:r>
        <w:t xml:space="preserve"> Imagine a market for used cars (where "lemons" are bad cars). The seller knows the true quality of the car, but the buyer does not. Because the buyer cannot tell a good car from a bad one beforehand, they are only willing to pay an average price. Consequently, sellers of </w:t>
      </w:r>
      <w:r>
        <w:rPr>
          <w:i/>
          <w:iCs/>
        </w:rPr>
        <w:t>high-quality</w:t>
      </w:r>
      <w:r>
        <w:t xml:space="preserve"> </w:t>
      </w:r>
      <w:r>
        <w:lastRenderedPageBreak/>
        <w:t>cars refuse to sell at that low average price and leave the market. Eventually, only low-quality "lemons" remain, and the market collapses.</w:t>
      </w:r>
    </w:p>
    <w:p w14:paraId="5B7070E7" w14:textId="77777777" w:rsidR="00FB019D" w:rsidRDefault="00000000">
      <w:pPr>
        <w:numPr>
          <w:ilvl w:val="0"/>
          <w:numId w:val="59"/>
        </w:numPr>
        <w:pBdr>
          <w:top w:val="nil"/>
          <w:left w:val="nil"/>
          <w:bottom w:val="nil"/>
          <w:right w:val="nil"/>
          <w:between w:val="nil"/>
        </w:pBdr>
        <w:spacing w:before="0" w:after="0"/>
        <w:ind w:right="0"/>
      </w:pPr>
      <w:r>
        <w:rPr>
          <w:b/>
          <w:bCs/>
        </w:rPr>
        <w:t>Application to Agri-Food Systems:</w:t>
      </w:r>
      <w:r>
        <w:t xml:space="preserve"> In sustainable and regenerative agriculture, safety, chemical-free production, and environmental stewardship are </w:t>
      </w:r>
      <w:r>
        <w:rPr>
          <w:b/>
          <w:bCs/>
        </w:rPr>
        <w:t>credence attributes</w:t>
      </w:r>
      <w:r>
        <w:t xml:space="preserve"> (meaning consumers cannot verify them by looking at or tasting the food). If there is no credible translation or verification mechanism (like certification, trust labels, or PGS), the market gets flooded with unverified claims ("greenwashing"). Skeptical consumers refuse to pay a premium, good producers are driven out, and trust evaporates—just like what happened in Thailand's government-supported organic rice promotion when export buyers refused to recognize unverified provincial standards.</w:t>
      </w:r>
    </w:p>
    <w:p w14:paraId="5B7070E8" w14:textId="77777777" w:rsidR="00FB019D" w:rsidRDefault="00000000">
      <w:pPr>
        <w:pStyle w:val="Heading3"/>
      </w:pPr>
      <w:r>
        <w:t>2. Addressing Q9: Commodity Certification vs. Diversified Farming Systems</w:t>
      </w:r>
    </w:p>
    <w:p w14:paraId="5B7070E9" w14:textId="77777777" w:rsidR="00FB019D" w:rsidRDefault="00000000">
      <w:pPr>
        <w:numPr>
          <w:ilvl w:val="0"/>
          <w:numId w:val="60"/>
        </w:numPr>
        <w:pBdr>
          <w:top w:val="nil"/>
          <w:left w:val="nil"/>
          <w:bottom w:val="nil"/>
          <w:right w:val="nil"/>
          <w:between w:val="nil"/>
        </w:pBdr>
        <w:spacing w:before="0" w:after="0"/>
        <w:ind w:right="0"/>
      </w:pPr>
      <w:r>
        <w:rPr>
          <w:b/>
          <w:bCs/>
        </w:rPr>
        <w:t>Your Point:</w:t>
      </w:r>
      <w:r>
        <w:t xml:space="preserve"> Single-commodity schemes have severe limits; diversification is vastly superior for economic risk mitigation, ecological conservation, climate resilience, and nutrition.</w:t>
      </w:r>
    </w:p>
    <w:p w14:paraId="5B7070EA" w14:textId="77777777" w:rsidR="00FB019D" w:rsidRDefault="00000000">
      <w:pPr>
        <w:numPr>
          <w:ilvl w:val="0"/>
          <w:numId w:val="60"/>
        </w:numPr>
        <w:pBdr>
          <w:top w:val="nil"/>
          <w:left w:val="nil"/>
          <w:bottom w:val="nil"/>
          <w:right w:val="nil"/>
          <w:between w:val="nil"/>
        </w:pBdr>
        <w:spacing w:before="0" w:after="0"/>
        <w:ind w:right="0"/>
      </w:pPr>
      <w:r>
        <w:rPr>
          <w:b/>
          <w:bCs/>
        </w:rPr>
        <w:t>Critique &amp; Systems Analysis:</w:t>
      </w:r>
      <w:r>
        <w:t xml:space="preserve"> Your stance matches the empirical literature on smallholder resilience. Commodity-specific certifications (like Rainforest Alliance for cocoa or specific export schemes for cashews) often lift yields or prices for </w:t>
      </w:r>
      <w:r>
        <w:rPr>
          <w:i/>
          <w:iCs/>
        </w:rPr>
        <w:t>that single crop</w:t>
      </w:r>
      <w:r>
        <w:t>, but they fail to secure overall household income because the family remains exposed to monoculture market crashes, pest epidemics, and climate shocks. Diversified farming systems (e.g., integrating rice-fish-vegetable production, as seen in IP1+ pilots in Battambang and Kampong Thom) act as a biological and economic insurance policy. They smooth out cash flow across seasons, protect soil micro-biomes, and directly improve household nutritional diversity.</w:t>
      </w:r>
    </w:p>
    <w:p w14:paraId="5B7070EB" w14:textId="77777777" w:rsidR="00FB019D" w:rsidRDefault="00000000">
      <w:pPr>
        <w:pStyle w:val="Heading3"/>
      </w:pPr>
      <w:r>
        <w:t>3. Addressing Q10: The PGS Dilemma—Grassroots Credibility vs. Export Recognition</w:t>
      </w:r>
    </w:p>
    <w:p w14:paraId="5B7070EC" w14:textId="77777777" w:rsidR="00FB019D" w:rsidRDefault="00000000">
      <w:pPr>
        <w:numPr>
          <w:ilvl w:val="0"/>
          <w:numId w:val="61"/>
        </w:numPr>
        <w:pBdr>
          <w:top w:val="nil"/>
          <w:left w:val="nil"/>
          <w:bottom w:val="nil"/>
          <w:right w:val="nil"/>
          <w:between w:val="nil"/>
        </w:pBdr>
        <w:spacing w:before="0" w:after="0"/>
        <w:ind w:right="0"/>
      </w:pPr>
      <w:r>
        <w:rPr>
          <w:b/>
          <w:bCs/>
        </w:rPr>
        <w:t>Your Point:</w:t>
      </w:r>
      <w:r>
        <w:t xml:space="preserve"> Participatory Guarantee Systems (PGS) are widely recognized for lowering costs and empowering smallholders, but they are </w:t>
      </w:r>
      <w:r>
        <w:rPr>
          <w:i/>
          <w:iCs/>
        </w:rPr>
        <w:t>not</w:t>
      </w:r>
      <w:r>
        <w:t xml:space="preserve"> internationally recognized as a gold standard. To access lucrative export markets, they often have to incorporate expensive third-party standards.</w:t>
      </w:r>
    </w:p>
    <w:p w14:paraId="5B7070ED" w14:textId="77777777" w:rsidR="00FB019D" w:rsidRDefault="00000000">
      <w:pPr>
        <w:numPr>
          <w:ilvl w:val="0"/>
          <w:numId w:val="61"/>
        </w:numPr>
        <w:pBdr>
          <w:top w:val="nil"/>
          <w:left w:val="nil"/>
          <w:bottom w:val="nil"/>
          <w:right w:val="nil"/>
          <w:between w:val="nil"/>
        </w:pBdr>
        <w:spacing w:before="0" w:after="0"/>
        <w:ind w:right="0"/>
      </w:pPr>
      <w:r>
        <w:rPr>
          <w:b/>
          <w:bCs/>
        </w:rPr>
        <w:t>Critique &amp; Systems Analysis:</w:t>
      </w:r>
      <w:r>
        <w:t xml:space="preserve"> This is the ultimate institutional dilemma of smallholder certification.</w:t>
      </w:r>
    </w:p>
    <w:p w14:paraId="5B7070EE" w14:textId="77777777" w:rsidR="00FB019D" w:rsidRDefault="00000000">
      <w:pPr>
        <w:numPr>
          <w:ilvl w:val="1"/>
          <w:numId w:val="62"/>
        </w:numPr>
        <w:pBdr>
          <w:top w:val="nil"/>
          <w:left w:val="nil"/>
          <w:bottom w:val="nil"/>
          <w:right w:val="nil"/>
          <w:between w:val="nil"/>
        </w:pBdr>
        <w:spacing w:before="0" w:after="0"/>
        <w:ind w:right="0"/>
      </w:pPr>
      <w:r>
        <w:rPr>
          <w:b/>
          <w:bCs/>
        </w:rPr>
        <w:t>PGS</w:t>
      </w:r>
      <w:r>
        <w:t xml:space="preserve"> is brilliant for </w:t>
      </w:r>
      <w:r>
        <w:rPr>
          <w:i/>
          <w:iCs/>
        </w:rPr>
        <w:t>domestic and territorial markets</w:t>
      </w:r>
      <w:r>
        <w:t xml:space="preserve"> because it builds local social trust, relies on peer-to-peer accountability, and avoids crippling third-party auditing fees.</w:t>
      </w:r>
    </w:p>
    <w:p w14:paraId="5B7070EF" w14:textId="77777777" w:rsidR="00FB019D" w:rsidRDefault="00000000">
      <w:pPr>
        <w:numPr>
          <w:ilvl w:val="1"/>
          <w:numId w:val="62"/>
        </w:numPr>
        <w:pBdr>
          <w:top w:val="nil"/>
          <w:left w:val="nil"/>
          <w:bottom w:val="nil"/>
          <w:right w:val="nil"/>
          <w:between w:val="nil"/>
        </w:pBdr>
        <w:spacing w:before="0" w:after="0"/>
        <w:ind w:right="0"/>
      </w:pPr>
      <w:r>
        <w:t>However, international export markets (like the EU or North America) are governed by strict statutory trade regulations that do not legally recognize community-led peer review.</w:t>
      </w:r>
    </w:p>
    <w:p w14:paraId="5B7070F0" w14:textId="77777777" w:rsidR="00FB019D" w:rsidRDefault="00000000">
      <w:pPr>
        <w:numPr>
          <w:ilvl w:val="1"/>
          <w:numId w:val="62"/>
        </w:numPr>
        <w:pBdr>
          <w:top w:val="nil"/>
          <w:left w:val="nil"/>
          <w:bottom w:val="nil"/>
          <w:right w:val="nil"/>
          <w:between w:val="nil"/>
        </w:pBdr>
        <w:spacing w:before="0" w:after="0"/>
        <w:ind w:right="0"/>
      </w:pPr>
      <w:r>
        <w:rPr>
          <w:b/>
          <w:bCs/>
        </w:rPr>
        <w:t>The Hybrid Solution:</w:t>
      </w:r>
      <w:r>
        <w:t xml:space="preserve"> Emerging frameworks suggest a </w:t>
      </w:r>
      <w:r>
        <w:rPr>
          <w:b/>
          <w:bCs/>
        </w:rPr>
        <w:t>nested or dual-track approach</w:t>
      </w:r>
      <w:r>
        <w:t xml:space="preserve">. Smallholder cooperatives can use PGS to build local markets, reduce internal transition costs, and supply domestic institutional buyers (like school feeding programs). Then, </w:t>
      </w:r>
      <w:r>
        <w:rPr>
          <w:i/>
          <w:iCs/>
        </w:rPr>
        <w:t>only</w:t>
      </w:r>
      <w:r>
        <w:t xml:space="preserve"> when scaling up to export aggregations, they can utilize group-certification models or bridge PGS data into formal equivalency frameworks (such as aligning with organic or CamGAP/ASEAN GAP protocols) to clear international trade hurdles without losing their grassroots organizational structure.</w:t>
      </w:r>
    </w:p>
    <w:p w14:paraId="5B7070F1" w14:textId="77777777" w:rsidR="00FB019D" w:rsidRDefault="00000000">
      <w:pPr>
        <w:pBdr>
          <w:top w:val="nil"/>
          <w:left w:val="nil"/>
          <w:bottom w:val="nil"/>
          <w:right w:val="nil"/>
          <w:between w:val="nil"/>
        </w:pBdr>
        <w:spacing w:before="0" w:after="0"/>
        <w:ind w:left="0" w:right="0"/>
      </w:pPr>
      <w:r>
        <w:pict w14:anchorId="5B7072ED">
          <v:rect id="_x0000_i1041" style="width:0;height:1.5pt" o:hralign="center" o:hrstd="t" o:hr="t" fillcolor="#a0a0a0" stroked="f"/>
        </w:pict>
      </w:r>
    </w:p>
    <w:p w14:paraId="5B7070F2"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Q11. Yes, given health halo is well-evidenced, we should promote them altogether. But don't push, but use them as complementary aspects to the focus on health values. Q12. A dilemma again. As price premiums cannot be too low, the market for organic/sustainable products inherently become the elite market. So we should not only aim for price premiums, but also try to lower costs and encourage more adoption of sustainable practices in conventional models (then, scaling out and deep?). Q13. Now we touch the question of consumer incentives. Please list all types of consumer/market incentives or nudges that we know.</w:t>
      </w:r>
    </w:p>
    <w:p w14:paraId="5B7070F3" w14:textId="77777777" w:rsidR="00FB019D" w:rsidRDefault="00000000">
      <w:pPr>
        <w:pBdr>
          <w:top w:val="nil"/>
          <w:left w:val="nil"/>
          <w:bottom w:val="nil"/>
          <w:right w:val="nil"/>
          <w:between w:val="nil"/>
        </w:pBdr>
        <w:spacing w:before="0" w:after="320"/>
        <w:ind w:left="0" w:right="0"/>
        <w:rPr>
          <w:b/>
          <w:bCs/>
        </w:rPr>
      </w:pPr>
      <w:r>
        <w:lastRenderedPageBreak/>
        <w:t xml:space="preserve">Response: </w:t>
      </w:r>
      <w:r>
        <w:rPr>
          <w:b/>
          <w:bCs/>
        </w:rPr>
        <w:t>Related Original Questions Addressed:</w:t>
      </w:r>
    </w:p>
    <w:p w14:paraId="5B7070F4" w14:textId="77777777" w:rsidR="00FB019D" w:rsidRDefault="00000000">
      <w:pPr>
        <w:numPr>
          <w:ilvl w:val="0"/>
          <w:numId w:val="63"/>
        </w:numPr>
        <w:pBdr>
          <w:top w:val="nil"/>
          <w:left w:val="nil"/>
          <w:bottom w:val="nil"/>
          <w:right w:val="nil"/>
          <w:between w:val="nil"/>
        </w:pBdr>
        <w:spacing w:before="0" w:after="0"/>
        <w:ind w:right="0"/>
      </w:pPr>
      <w:r>
        <w:rPr>
          <w:i/>
          <w:iCs/>
        </w:rPr>
        <w:t>Q11:</w:t>
      </w:r>
      <w:r>
        <w:t xml:space="preserve"> "Given that consumers routinely conflate environmental sustainability with personal health benefits, should marketing and behavioral interventions explicitly lead with food safety and nutrition or attempt to cultivate direct intrinsic motivations for ecological stewardship?"</w:t>
      </w:r>
    </w:p>
    <w:p w14:paraId="5B7070F5" w14:textId="77777777" w:rsidR="00FB019D" w:rsidRDefault="00000000">
      <w:pPr>
        <w:numPr>
          <w:ilvl w:val="0"/>
          <w:numId w:val="63"/>
        </w:numPr>
        <w:pBdr>
          <w:top w:val="nil"/>
          <w:left w:val="nil"/>
          <w:bottom w:val="nil"/>
          <w:right w:val="nil"/>
          <w:between w:val="nil"/>
        </w:pBdr>
        <w:spacing w:before="0" w:after="0"/>
        <w:ind w:right="0"/>
      </w:pPr>
      <w:r>
        <w:rPr>
          <w:i/>
          <w:iCs/>
        </w:rPr>
        <w:t>Q12:</w:t>
      </w:r>
      <w:r>
        <w:t xml:space="preserve"> "In emerging economies characterized by diverse household purchasing power, how can sustainable and safe food products overcome the structural price barrier to avoid becoming elite niche commodities?"</w:t>
      </w:r>
    </w:p>
    <w:p w14:paraId="5B7070F6" w14:textId="77777777" w:rsidR="00FB019D" w:rsidRDefault="00000000">
      <w:pPr>
        <w:numPr>
          <w:ilvl w:val="0"/>
          <w:numId w:val="63"/>
        </w:numPr>
        <w:pBdr>
          <w:top w:val="nil"/>
          <w:left w:val="nil"/>
          <w:bottom w:val="nil"/>
          <w:right w:val="nil"/>
          <w:between w:val="nil"/>
        </w:pBdr>
        <w:spacing w:before="0" w:after="0"/>
        <w:ind w:right="0"/>
      </w:pPr>
      <w:r>
        <w:rPr>
          <w:i/>
          <w:iCs/>
        </w:rPr>
        <w:t>Q13:</w:t>
      </w:r>
      <w:r>
        <w:t xml:space="preserve"> "Beyond eco-labels and consumer awareness campaigns, how effective are structural changes in the retail food environment (such as default placements, store zoning, and institutional nudges) in shifting habitual purchasing behavior toward sustainable diets?"</w:t>
      </w:r>
    </w:p>
    <w:p w14:paraId="5B7070F7" w14:textId="77777777" w:rsidR="00FB019D" w:rsidRDefault="00000000">
      <w:pPr>
        <w:pStyle w:val="Heading3"/>
        <w:spacing w:after="320"/>
      </w:pPr>
      <w:r>
        <w:t>Expert Critique &amp; Systems-Thinking Analysis</w:t>
      </w:r>
    </w:p>
    <w:p w14:paraId="5B7070F8" w14:textId="77777777" w:rsidR="00FB019D" w:rsidRDefault="00000000">
      <w:pPr>
        <w:pBdr>
          <w:top w:val="nil"/>
          <w:left w:val="nil"/>
          <w:bottom w:val="nil"/>
          <w:right w:val="nil"/>
          <w:between w:val="nil"/>
        </w:pBdr>
        <w:spacing w:before="0" w:after="320"/>
        <w:ind w:left="0" w:right="0"/>
      </w:pPr>
      <w:r>
        <w:t xml:space="preserve">Your insights on Q11 and Q12 cut straight through the idealistic marketing fluff of "sustainable food systems" and land on hard economic and behavioral realities. Let’s evaluate your points, and then compile the comprehensive typology of consumer and market incentives/nudges for </w:t>
      </w:r>
      <w:r>
        <w:rPr>
          <w:b/>
          <w:bCs/>
        </w:rPr>
        <w:t>Q13</w:t>
      </w:r>
      <w:r>
        <w:t>.</w:t>
      </w:r>
    </w:p>
    <w:p w14:paraId="5B7070F9" w14:textId="77777777" w:rsidR="00FB019D" w:rsidRDefault="00000000">
      <w:pPr>
        <w:pStyle w:val="Heading3"/>
        <w:spacing w:before="0"/>
      </w:pPr>
      <w:r>
        <w:t>1. Evaluating Your Insights on Q11 &amp; Q12</w:t>
      </w:r>
    </w:p>
    <w:p w14:paraId="5B7070FA" w14:textId="77777777" w:rsidR="00FB019D" w:rsidRDefault="00000000">
      <w:pPr>
        <w:numPr>
          <w:ilvl w:val="0"/>
          <w:numId w:val="64"/>
        </w:numPr>
        <w:pBdr>
          <w:top w:val="nil"/>
          <w:left w:val="nil"/>
          <w:bottom w:val="nil"/>
          <w:right w:val="nil"/>
          <w:between w:val="nil"/>
        </w:pBdr>
        <w:spacing w:before="0" w:after="0"/>
        <w:ind w:right="0"/>
      </w:pPr>
      <w:r>
        <w:rPr>
          <w:b/>
          <w:bCs/>
        </w:rPr>
        <w:t>On Q11 (Leading with Health, Supporting with Environment):</w:t>
      </w:r>
      <w:r>
        <w:t xml:space="preserve"> Your strategy is spot on. Because the "health halo" is so psychologically powerful, leading with food safety, reduced residues, and nutrition acts as the primary "hook" to capture consumer attention and willingness-to-pay. Environmental stewardship is then woven in as a complementary, reinforcing value rather than a standalone moral demand. This avoids alienating consumers while quietly building broader environmental literacy.</w:t>
      </w:r>
    </w:p>
    <w:p w14:paraId="5B7070FB" w14:textId="77777777" w:rsidR="00FB019D" w:rsidRDefault="00000000">
      <w:pPr>
        <w:numPr>
          <w:ilvl w:val="0"/>
          <w:numId w:val="64"/>
        </w:numPr>
        <w:pBdr>
          <w:top w:val="nil"/>
          <w:left w:val="nil"/>
          <w:bottom w:val="nil"/>
          <w:right w:val="nil"/>
          <w:between w:val="nil"/>
        </w:pBdr>
        <w:spacing w:before="0" w:after="0"/>
        <w:ind w:right="0"/>
      </w:pPr>
      <w:r>
        <w:rPr>
          <w:b/>
          <w:bCs/>
        </w:rPr>
        <w:t>On Q12 (The Elite Niche Trap &amp; Lowering Costs):</w:t>
      </w:r>
      <w:r>
        <w:t xml:space="preserve"> This is the ultimate equity dilemma of sustainable agriculture. If sustainable goods rely exclusively on high price premiums to survive, they </w:t>
      </w:r>
      <w:r>
        <w:rPr>
          <w:i/>
          <w:iCs/>
        </w:rPr>
        <w:t>will</w:t>
      </w:r>
      <w:r>
        <w:t xml:space="preserve"> remain an elite urban luxury, leaving low-income households consuming cheaper, chemically intensive food. Your solution—</w:t>
      </w:r>
      <w:r>
        <w:rPr>
          <w:b/>
          <w:bCs/>
        </w:rPr>
        <w:t>shifting focus from purely chasing price premiums to lowering production/transaction costs and mainstreaming sustainable practices into conventional production (scaling out and deep)</w:t>
      </w:r>
      <w:r>
        <w:t>—is precisely how systemic transition happens. Instead of making sustainability a boutique, high-priced niche, we must make sustainable inputs cheaper, make cooperative aggregation more efficient, and integrate ecological practices into mainstream supply chains so the baseline cost drops.</w:t>
      </w:r>
    </w:p>
    <w:p w14:paraId="5B7070FC" w14:textId="77777777" w:rsidR="00FB019D" w:rsidRDefault="00000000">
      <w:pPr>
        <w:pStyle w:val="Heading3"/>
        <w:spacing w:after="320"/>
      </w:pPr>
      <w:r>
        <w:t>2. Addressing Q13: A Comprehensive Typology of Consumer &amp; Market Incentives / Nudges</w:t>
      </w:r>
    </w:p>
    <w:p w14:paraId="5B7070FD" w14:textId="77777777" w:rsidR="00FB019D" w:rsidRDefault="00000000">
      <w:pPr>
        <w:pBdr>
          <w:top w:val="nil"/>
          <w:left w:val="nil"/>
          <w:bottom w:val="nil"/>
          <w:right w:val="nil"/>
          <w:between w:val="nil"/>
        </w:pBdr>
        <w:spacing w:before="0" w:after="320"/>
        <w:ind w:left="0" w:right="0"/>
      </w:pPr>
      <w:r>
        <w:t>Drawing from behavioral economics, food environment theory, and the literature reviewed in the ASEAN-CGIAR studies, consumer and market incentives fall into five distinct structural categories:</w:t>
      </w:r>
    </w:p>
    <w:p w14:paraId="5B7070FE" w14:textId="77777777" w:rsidR="00FB019D" w:rsidRDefault="00000000">
      <w:pPr>
        <w:pStyle w:val="Heading4"/>
        <w:spacing w:before="0"/>
      </w:pPr>
      <w:r>
        <w:t>A. Economic &amp; Financial Incentives (Changing the Price/Cost Structure)</w:t>
      </w:r>
    </w:p>
    <w:p w14:paraId="5B7070FF" w14:textId="77777777" w:rsidR="00FB019D" w:rsidRDefault="00000000">
      <w:pPr>
        <w:numPr>
          <w:ilvl w:val="0"/>
          <w:numId w:val="65"/>
        </w:numPr>
        <w:pBdr>
          <w:top w:val="nil"/>
          <w:left w:val="nil"/>
          <w:bottom w:val="nil"/>
          <w:right w:val="nil"/>
          <w:between w:val="nil"/>
        </w:pBdr>
        <w:spacing w:before="0" w:after="0"/>
        <w:ind w:right="0"/>
      </w:pPr>
      <w:r>
        <w:rPr>
          <w:b/>
          <w:bCs/>
        </w:rPr>
        <w:t>Price Reductions &amp; Subsidies:</w:t>
      </w:r>
      <w:r>
        <w:t xml:space="preserve"> Direct retail discounts, tax exemptions, or vouchers for verified sustainable/safe foods to close the affordability gap for lower-income consumers.</w:t>
      </w:r>
    </w:p>
    <w:p w14:paraId="5B707100" w14:textId="77777777" w:rsidR="00FB019D" w:rsidRDefault="00000000">
      <w:pPr>
        <w:numPr>
          <w:ilvl w:val="0"/>
          <w:numId w:val="65"/>
        </w:numPr>
        <w:pBdr>
          <w:top w:val="nil"/>
          <w:left w:val="nil"/>
          <w:bottom w:val="nil"/>
          <w:right w:val="nil"/>
          <w:between w:val="nil"/>
        </w:pBdr>
        <w:spacing w:before="0" w:after="0"/>
        <w:ind w:right="0"/>
      </w:pPr>
      <w:r>
        <w:rPr>
          <w:b/>
          <w:bCs/>
        </w:rPr>
        <w:t>Producer-to-Consumer Cost Reduction:</w:t>
      </w:r>
      <w:r>
        <w:t xml:space="preserve"> Shortening supply chains (e.g., direct farmers' markets, community-supported agriculture) to eliminate multi-layered midstream markups, making goods cheaper for consumers while retaining better margins for farmers.</w:t>
      </w:r>
    </w:p>
    <w:p w14:paraId="5B707101" w14:textId="77777777" w:rsidR="00FB019D" w:rsidRDefault="00000000">
      <w:pPr>
        <w:pStyle w:val="Heading4"/>
      </w:pPr>
      <w:r>
        <w:lastRenderedPageBreak/>
        <w:t>B. Choice Architecture &amp; Nudges (Restructuring the Physical Food Environment)</w:t>
      </w:r>
    </w:p>
    <w:p w14:paraId="5B707102" w14:textId="77777777" w:rsidR="00FB019D" w:rsidRDefault="00000000">
      <w:pPr>
        <w:numPr>
          <w:ilvl w:val="0"/>
          <w:numId w:val="66"/>
        </w:numPr>
        <w:pBdr>
          <w:top w:val="nil"/>
          <w:left w:val="nil"/>
          <w:bottom w:val="nil"/>
          <w:right w:val="nil"/>
          <w:between w:val="nil"/>
        </w:pBdr>
        <w:spacing w:before="0" w:after="0"/>
        <w:ind w:right="0"/>
      </w:pPr>
      <w:r>
        <w:rPr>
          <w:b/>
          <w:bCs/>
        </w:rPr>
        <w:t>Placement &amp; Positioning (Slanted Merchandising):</w:t>
      </w:r>
      <w:r>
        <w:t xml:space="preserve"> Placing sustainable, safe, or local products at eye-level, at checkout counters, or at the entrance of retail stores to increase visual salience.</w:t>
      </w:r>
    </w:p>
    <w:p w14:paraId="5B707103" w14:textId="77777777" w:rsidR="00FB019D" w:rsidRDefault="00000000">
      <w:pPr>
        <w:numPr>
          <w:ilvl w:val="0"/>
          <w:numId w:val="66"/>
        </w:numPr>
        <w:pBdr>
          <w:top w:val="nil"/>
          <w:left w:val="nil"/>
          <w:bottom w:val="nil"/>
          <w:right w:val="nil"/>
          <w:between w:val="nil"/>
        </w:pBdr>
        <w:spacing w:before="0" w:after="0"/>
        <w:ind w:right="0"/>
      </w:pPr>
      <w:r>
        <w:rPr>
          <w:b/>
          <w:bCs/>
        </w:rPr>
        <w:t>Default Options:</w:t>
      </w:r>
      <w:r>
        <w:t xml:space="preserve"> Making the sustainable or locally sourced option the default choice in institutional settings (e.g., default plant-based or sustainably sourced meals at university cafeterias or official meetings).</w:t>
      </w:r>
    </w:p>
    <w:p w14:paraId="5B707104" w14:textId="77777777" w:rsidR="00FB019D" w:rsidRDefault="00000000">
      <w:pPr>
        <w:numPr>
          <w:ilvl w:val="0"/>
          <w:numId w:val="66"/>
        </w:numPr>
        <w:pBdr>
          <w:top w:val="nil"/>
          <w:left w:val="nil"/>
          <w:bottom w:val="nil"/>
          <w:right w:val="nil"/>
          <w:between w:val="nil"/>
        </w:pBdr>
        <w:spacing w:before="0" w:after="0"/>
        <w:ind w:right="0"/>
      </w:pPr>
      <w:r>
        <w:rPr>
          <w:b/>
          <w:bCs/>
        </w:rPr>
        <w:t>Store Zoning &amp; Dedicated Segregation:</w:t>
      </w:r>
      <w:r>
        <w:t xml:space="preserve"> Creating dedicated, high-visibility "safe food" or "cooperative-sourced" sections in major urban supermarkets with trained staff to reduce search friction.</w:t>
      </w:r>
    </w:p>
    <w:p w14:paraId="5B707105" w14:textId="77777777" w:rsidR="00FB019D" w:rsidRDefault="00000000">
      <w:pPr>
        <w:pStyle w:val="Heading4"/>
      </w:pPr>
      <w:r>
        <w:t>C. Information, Labelling, &amp; Trust Architecture (Reducing Information Asymmetry)</w:t>
      </w:r>
    </w:p>
    <w:p w14:paraId="5B707106" w14:textId="77777777" w:rsidR="00FB019D" w:rsidRDefault="00000000">
      <w:pPr>
        <w:numPr>
          <w:ilvl w:val="0"/>
          <w:numId w:val="67"/>
        </w:numPr>
        <w:pBdr>
          <w:top w:val="nil"/>
          <w:left w:val="nil"/>
          <w:bottom w:val="nil"/>
          <w:right w:val="nil"/>
          <w:between w:val="nil"/>
        </w:pBdr>
        <w:spacing w:before="0" w:after="0"/>
        <w:ind w:right="0"/>
      </w:pPr>
      <w:r>
        <w:rPr>
          <w:b/>
          <w:bCs/>
        </w:rPr>
        <w:t>Simplified Trust Labels &amp; Visual Cues:</w:t>
      </w:r>
      <w:r>
        <w:t xml:space="preserve"> Moving away from dense, text-heavy technical data toward clean, easily recognizable public-backed seals (e.g., simplified CamGAP, PGS, or origin labels) that consumers can decode in seconds.</w:t>
      </w:r>
    </w:p>
    <w:p w14:paraId="5B707107" w14:textId="77777777" w:rsidR="00FB019D" w:rsidRDefault="00000000">
      <w:pPr>
        <w:numPr>
          <w:ilvl w:val="0"/>
          <w:numId w:val="67"/>
        </w:numPr>
        <w:pBdr>
          <w:top w:val="nil"/>
          <w:left w:val="nil"/>
          <w:bottom w:val="nil"/>
          <w:right w:val="nil"/>
          <w:between w:val="nil"/>
        </w:pBdr>
        <w:spacing w:before="0" w:after="0"/>
        <w:ind w:right="0"/>
      </w:pPr>
      <w:r>
        <w:rPr>
          <w:b/>
          <w:bCs/>
        </w:rPr>
        <w:t>Lightweight Traceability &amp; Feedback Loops:</w:t>
      </w:r>
      <w:r>
        <w:t xml:space="preserve"> Simple QR codes or origin display boards that connect urban buyers directly to the cooperative or farming community, building relational trust without requiring heavy digital literacy.</w:t>
      </w:r>
    </w:p>
    <w:p w14:paraId="5B707108" w14:textId="77777777" w:rsidR="00FB019D" w:rsidRDefault="00000000">
      <w:pPr>
        <w:pStyle w:val="Heading4"/>
      </w:pPr>
      <w:r>
        <w:t>D. Institutional &amp; Public Demand Anchors (Structural Market Creation)</w:t>
      </w:r>
    </w:p>
    <w:p w14:paraId="5B707109" w14:textId="77777777" w:rsidR="00FB019D" w:rsidRDefault="00000000">
      <w:pPr>
        <w:numPr>
          <w:ilvl w:val="0"/>
          <w:numId w:val="68"/>
        </w:numPr>
        <w:pBdr>
          <w:top w:val="nil"/>
          <w:left w:val="nil"/>
          <w:bottom w:val="nil"/>
          <w:right w:val="nil"/>
          <w:between w:val="nil"/>
        </w:pBdr>
        <w:spacing w:before="0" w:after="0"/>
        <w:ind w:right="0"/>
      </w:pPr>
      <w:r>
        <w:rPr>
          <w:b/>
          <w:bCs/>
        </w:rPr>
        <w:t>Public Food Procurement Mandates:</w:t>
      </w:r>
      <w:r>
        <w:t xml:space="preserve"> Leveraging state-backed demand—such as national school feeding programs (e.g., Cambodia's Home-Grown School Feeding) or public hospital catering—to buy fixed quotas of sustainable/local food, creating guaranteed, non-price-volatile markets.</w:t>
      </w:r>
    </w:p>
    <w:p w14:paraId="5B70710A" w14:textId="77777777" w:rsidR="00FB019D" w:rsidRDefault="00000000">
      <w:pPr>
        <w:pStyle w:val="Heading4"/>
      </w:pPr>
      <w:r>
        <w:t>E. Social Norms &amp; Educational Campaigns (Shifting Aspirational Values)</w:t>
      </w:r>
    </w:p>
    <w:p w14:paraId="5B70710B" w14:textId="77777777" w:rsidR="00FB019D" w:rsidRDefault="00000000">
      <w:pPr>
        <w:numPr>
          <w:ilvl w:val="0"/>
          <w:numId w:val="70"/>
        </w:numPr>
        <w:pBdr>
          <w:top w:val="nil"/>
          <w:left w:val="nil"/>
          <w:bottom w:val="nil"/>
          <w:right w:val="nil"/>
          <w:between w:val="nil"/>
        </w:pBdr>
        <w:spacing w:before="0" w:after="0"/>
        <w:ind w:right="0"/>
      </w:pPr>
      <w:r>
        <w:rPr>
          <w:b/>
          <w:bCs/>
        </w:rPr>
        <w:t>Curriculum Integration:</w:t>
      </w:r>
      <w:r>
        <w:t xml:space="preserve"> Embedding food safety, nutrition, and sustainable food literacy directly into primary and secondary school curricula to shape long-term generational habits.</w:t>
      </w:r>
    </w:p>
    <w:p w14:paraId="5B70710C" w14:textId="77777777" w:rsidR="00FB019D" w:rsidRDefault="00000000">
      <w:pPr>
        <w:numPr>
          <w:ilvl w:val="0"/>
          <w:numId w:val="70"/>
        </w:numPr>
        <w:pBdr>
          <w:top w:val="nil"/>
          <w:left w:val="nil"/>
          <w:bottom w:val="nil"/>
          <w:right w:val="nil"/>
          <w:between w:val="nil"/>
        </w:pBdr>
        <w:spacing w:before="0" w:after="0"/>
        <w:ind w:right="0"/>
      </w:pPr>
      <w:r>
        <w:rPr>
          <w:b/>
          <w:bCs/>
        </w:rPr>
        <w:t>Public Awareness &amp; Mass Media Campaigns:</w:t>
      </w:r>
      <w:r>
        <w:t xml:space="preserve"> Highlighting food safety and community health through trusted media channels, avoiding abstract global climate messaging in favor of local public health benefits.</w:t>
      </w:r>
    </w:p>
    <w:p w14:paraId="5B70710D" w14:textId="77777777" w:rsidR="00FB019D" w:rsidRDefault="00000000">
      <w:pPr>
        <w:pBdr>
          <w:top w:val="nil"/>
          <w:left w:val="nil"/>
          <w:bottom w:val="nil"/>
          <w:right w:val="nil"/>
          <w:between w:val="nil"/>
        </w:pBdr>
        <w:spacing w:before="320" w:after="320"/>
        <w:ind w:left="0" w:right="0"/>
      </w:pPr>
      <w:r>
        <w:t>Whenever you are ready, let's look at the remaining questions or dive deeper into how these nudges apply to specific value chains!</w:t>
      </w:r>
    </w:p>
    <w:p w14:paraId="5B70710E" w14:textId="77777777" w:rsidR="00FB019D" w:rsidRDefault="00000000">
      <w:pPr>
        <w:pBdr>
          <w:top w:val="nil"/>
          <w:left w:val="nil"/>
          <w:bottom w:val="nil"/>
          <w:right w:val="nil"/>
          <w:between w:val="nil"/>
        </w:pBdr>
        <w:spacing w:before="0" w:after="0"/>
        <w:ind w:left="0" w:right="0"/>
      </w:pPr>
      <w:r>
        <w:pict w14:anchorId="5B7072EE">
          <v:rect id="_x0000_i1042" style="width:0;height:1.5pt" o:hralign="center" o:hrstd="t" o:hr="t" fillcolor="#a0a0a0" stroked="f"/>
        </w:pict>
      </w:r>
    </w:p>
    <w:p w14:paraId="5B70710F"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Now Q13. Frankly, I don't know. Please search for evidence from the literature.</w:t>
      </w:r>
    </w:p>
    <w:p w14:paraId="5B707110"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7111" w14:textId="77777777" w:rsidR="00FB019D" w:rsidRDefault="00000000">
      <w:pPr>
        <w:numPr>
          <w:ilvl w:val="0"/>
          <w:numId w:val="71"/>
        </w:numPr>
        <w:pBdr>
          <w:top w:val="nil"/>
          <w:left w:val="nil"/>
          <w:bottom w:val="nil"/>
          <w:right w:val="nil"/>
          <w:between w:val="nil"/>
        </w:pBdr>
        <w:spacing w:before="0" w:after="0"/>
        <w:ind w:right="0"/>
      </w:pPr>
      <w:r>
        <w:rPr>
          <w:i/>
          <w:iCs/>
        </w:rPr>
        <w:t>Q13:</w:t>
      </w:r>
      <w:r>
        <w:t xml:space="preserve"> "Beyond eco-labels and consumer awareness campaigns, how effective are structural changes in the retail food environment (such as default placements, store zoning, and institutional nudges) in shifting habitual purchasing behavior toward sustainable diets?"</w:t>
      </w:r>
    </w:p>
    <w:p w14:paraId="5B707112" w14:textId="77777777" w:rsidR="00FB019D" w:rsidRDefault="00000000">
      <w:pPr>
        <w:pStyle w:val="Heading3"/>
        <w:spacing w:after="320"/>
      </w:pPr>
      <w:r>
        <w:t>Expert Critique &amp; Systems-Thinking Analysis</w:t>
      </w:r>
    </w:p>
    <w:p w14:paraId="5B707113" w14:textId="77777777" w:rsidR="00FB019D" w:rsidRDefault="00000000">
      <w:pPr>
        <w:pBdr>
          <w:top w:val="nil"/>
          <w:left w:val="nil"/>
          <w:bottom w:val="nil"/>
          <w:right w:val="nil"/>
          <w:between w:val="nil"/>
        </w:pBdr>
        <w:spacing w:before="0" w:after="320"/>
        <w:ind w:left="0" w:right="0"/>
      </w:pPr>
      <w:r>
        <w:t xml:space="preserve">Looking at the empirical literature—including landmark meta-analyses on choice architecture and </w:t>
      </w:r>
      <w:r>
        <w:lastRenderedPageBreak/>
        <w:t>sustainable food consumption (such as Mertens et al., 2022; Lohmann et al., 2024)—the evidence reveals clear, hard data on how effective structural changes and nudges really are.</w:t>
      </w:r>
    </w:p>
    <w:p w14:paraId="5B707114" w14:textId="77777777" w:rsidR="00FB019D" w:rsidRDefault="00000000">
      <w:pPr>
        <w:pBdr>
          <w:top w:val="nil"/>
          <w:left w:val="nil"/>
          <w:bottom w:val="nil"/>
          <w:right w:val="nil"/>
          <w:between w:val="nil"/>
        </w:pBdr>
        <w:spacing w:before="0" w:after="320"/>
        <w:ind w:left="0" w:right="0"/>
      </w:pPr>
      <w:r>
        <w:t>Here is what the literature demonstrates regarding non-label, structural interventions in the food environment:</w:t>
      </w:r>
    </w:p>
    <w:p w14:paraId="5B707115" w14:textId="77777777" w:rsidR="00FB019D" w:rsidRDefault="00000000">
      <w:pPr>
        <w:numPr>
          <w:ilvl w:val="0"/>
          <w:numId w:val="72"/>
        </w:numPr>
        <w:pBdr>
          <w:top w:val="nil"/>
          <w:left w:val="nil"/>
          <w:bottom w:val="nil"/>
          <w:right w:val="nil"/>
          <w:between w:val="nil"/>
        </w:pBdr>
        <w:spacing w:before="0" w:after="0"/>
        <w:ind w:right="0"/>
      </w:pPr>
      <w:r>
        <w:rPr>
          <w:b/>
          <w:bCs/>
        </w:rPr>
        <w:t>Food Choices are Exceptionally Responsive:</w:t>
      </w:r>
      <w:r>
        <w:t xml:space="preserve"> Comprehensive meta-analyses show that food and eating behaviors are among the most responsive domains to choice architecture, with behavioral effect sizes up to </w:t>
      </w:r>
      <w:r>
        <w:rPr>
          <w:b/>
          <w:bCs/>
        </w:rPr>
        <w:t>2.5 times larger</w:t>
      </w:r>
      <w:r>
        <w:t xml:space="preserve"> than in other public policy domains (like energy saving or financial decisions). Because daily food choices are heavily habitual, low-stakes, and made under time pressure, modifying the physical or structural environment has a much stronger impact than passive educational campaigns.</w:t>
      </w:r>
    </w:p>
    <w:p w14:paraId="5B707116" w14:textId="77777777" w:rsidR="00FB019D" w:rsidRDefault="00000000">
      <w:pPr>
        <w:numPr>
          <w:ilvl w:val="0"/>
          <w:numId w:val="72"/>
        </w:numPr>
        <w:pBdr>
          <w:top w:val="nil"/>
          <w:left w:val="nil"/>
          <w:bottom w:val="nil"/>
          <w:right w:val="nil"/>
          <w:between w:val="nil"/>
        </w:pBdr>
        <w:spacing w:before="0" w:after="0"/>
        <w:ind w:right="0"/>
      </w:pPr>
      <w:r>
        <w:rPr>
          <w:b/>
          <w:bCs/>
        </w:rPr>
        <w:t>Hierarchy of Effectiveness (Defaults vs. Information):</w:t>
      </w:r>
    </w:p>
    <w:p w14:paraId="5B707117" w14:textId="77777777" w:rsidR="00FB019D" w:rsidRDefault="00000000">
      <w:pPr>
        <w:numPr>
          <w:ilvl w:val="1"/>
          <w:numId w:val="73"/>
        </w:numPr>
        <w:pBdr>
          <w:top w:val="nil"/>
          <w:left w:val="nil"/>
          <w:bottom w:val="nil"/>
          <w:right w:val="nil"/>
          <w:between w:val="nil"/>
        </w:pBdr>
        <w:spacing w:before="0" w:after="0"/>
        <w:ind w:right="0"/>
      </w:pPr>
      <w:r>
        <w:rPr>
          <w:b/>
          <w:bCs/>
        </w:rPr>
        <w:t>Default Options (The Strongest Impact):</w:t>
      </w:r>
      <w:r>
        <w:t xml:space="preserve"> Altering defaults (e.g., making a sustainable, plant-forward, or locally sourced meal the standard option unless the consumer explicitly opts out) yields the largest effect sizes in food-consumption studies (averaging standardized mean differences or Cohen's </w:t>
      </w:r>
      <w:r>
        <w:rPr>
          <w:rFonts w:ascii="Arial" w:eastAsia="Arial" w:hAnsi="Arial" w:cs="Arial"/>
          <w:i/>
          <w:iCs/>
        </w:rPr>
        <w:t>d</w:t>
      </w:r>
      <w:r>
        <w:t xml:space="preserve"> around 1.0).</w:t>
      </w:r>
    </w:p>
    <w:p w14:paraId="5B707118" w14:textId="77777777" w:rsidR="00FB019D" w:rsidRDefault="00000000">
      <w:pPr>
        <w:numPr>
          <w:ilvl w:val="1"/>
          <w:numId w:val="73"/>
        </w:numPr>
        <w:pBdr>
          <w:top w:val="nil"/>
          <w:left w:val="nil"/>
          <w:bottom w:val="nil"/>
          <w:right w:val="nil"/>
          <w:between w:val="nil"/>
        </w:pBdr>
        <w:spacing w:before="0" w:after="0"/>
        <w:ind w:right="0"/>
      </w:pPr>
      <w:r>
        <w:rPr>
          <w:b/>
          <w:bCs/>
        </w:rPr>
        <w:t>Physical Availability &amp; Assortment:</w:t>
      </w:r>
      <w:r>
        <w:t xml:space="preserve"> Changing the physical availability of items (e.g., increasing the physical proportion of sustainable or safe food options on shelves or menus) consistently shifts consumer selection without restricting personal freedom.</w:t>
      </w:r>
    </w:p>
    <w:p w14:paraId="5B707119" w14:textId="77777777" w:rsidR="00FB019D" w:rsidRDefault="00000000">
      <w:pPr>
        <w:numPr>
          <w:ilvl w:val="1"/>
          <w:numId w:val="73"/>
        </w:numPr>
        <w:pBdr>
          <w:top w:val="nil"/>
          <w:left w:val="nil"/>
          <w:bottom w:val="nil"/>
          <w:right w:val="nil"/>
          <w:between w:val="nil"/>
        </w:pBdr>
        <w:spacing w:before="0" w:after="0"/>
        <w:ind w:right="0"/>
      </w:pPr>
      <w:r>
        <w:rPr>
          <w:b/>
          <w:bCs/>
        </w:rPr>
        <w:t>Placement &amp; Salience (Positioning):</w:t>
      </w:r>
      <w:r>
        <w:t xml:space="preserve"> Placing sustainable/safe alternatives at eye level or at checkout counters yields moderate, reliable sales bumps, though results vary depending on store layout and traffic flow.</w:t>
      </w:r>
    </w:p>
    <w:p w14:paraId="5B70711A" w14:textId="77777777" w:rsidR="00FB019D" w:rsidRDefault="00000000">
      <w:pPr>
        <w:numPr>
          <w:ilvl w:val="0"/>
          <w:numId w:val="72"/>
        </w:numPr>
        <w:pBdr>
          <w:top w:val="nil"/>
          <w:left w:val="nil"/>
          <w:bottom w:val="nil"/>
          <w:right w:val="nil"/>
          <w:between w:val="nil"/>
        </w:pBdr>
        <w:spacing w:before="0" w:after="0"/>
        <w:ind w:right="0"/>
      </w:pPr>
      <w:r>
        <w:rPr>
          <w:b/>
          <w:bCs/>
        </w:rPr>
        <w:t>Why Structural Nudges Outperform Information Alone:</w:t>
      </w:r>
      <w:r>
        <w:t xml:space="preserve"> Traditional approaches rely on "boosting" (providing raw information, carbon footprints, or eco-labels). However, literature notes that raw information suffers from cognitive overload and the attitude-behavior gap. Structural changes and nudges bypass heavy cognitive processing by reducing friction, altering convenience, and making the socially desirable choice the </w:t>
      </w:r>
      <w:r>
        <w:rPr>
          <w:i/>
          <w:iCs/>
        </w:rPr>
        <w:t>easiest</w:t>
      </w:r>
      <w:r>
        <w:t xml:space="preserve"> choice.</w:t>
      </w:r>
    </w:p>
    <w:p w14:paraId="5B70711B" w14:textId="77777777" w:rsidR="00FB019D" w:rsidRDefault="00000000">
      <w:pPr>
        <w:numPr>
          <w:ilvl w:val="0"/>
          <w:numId w:val="72"/>
        </w:numPr>
        <w:pBdr>
          <w:top w:val="nil"/>
          <w:left w:val="nil"/>
          <w:bottom w:val="nil"/>
          <w:right w:val="nil"/>
          <w:between w:val="nil"/>
        </w:pBdr>
        <w:spacing w:before="0" w:after="0"/>
        <w:ind w:right="0"/>
      </w:pPr>
      <w:r>
        <w:rPr>
          <w:b/>
          <w:bCs/>
        </w:rPr>
        <w:t>The Boundary Conditions &amp; Limitations:</w:t>
      </w:r>
    </w:p>
    <w:p w14:paraId="5B70711C" w14:textId="77777777" w:rsidR="00FB019D" w:rsidRDefault="00000000">
      <w:pPr>
        <w:numPr>
          <w:ilvl w:val="1"/>
          <w:numId w:val="74"/>
        </w:numPr>
        <w:pBdr>
          <w:top w:val="nil"/>
          <w:left w:val="nil"/>
          <w:bottom w:val="nil"/>
          <w:right w:val="nil"/>
          <w:between w:val="nil"/>
        </w:pBdr>
        <w:spacing w:before="0" w:after="0"/>
        <w:ind w:right="0"/>
      </w:pPr>
      <w:r>
        <w:rPr>
          <w:b/>
          <w:bCs/>
        </w:rPr>
        <w:t>Not a Silver Bullet:</w:t>
      </w:r>
      <w:r>
        <w:t xml:space="preserve"> Nudges cannot substitute for economic affordability or structural production costs. If a sustainable product is priced 50% higher than conventional alternatives, physical placement or a default setting will eventually hit a hard economic wall.</w:t>
      </w:r>
    </w:p>
    <w:p w14:paraId="5B70711D" w14:textId="77777777" w:rsidR="00FB019D" w:rsidRDefault="00000000">
      <w:pPr>
        <w:numPr>
          <w:ilvl w:val="1"/>
          <w:numId w:val="74"/>
        </w:numPr>
        <w:pBdr>
          <w:top w:val="nil"/>
          <w:left w:val="nil"/>
          <w:bottom w:val="nil"/>
          <w:right w:val="nil"/>
          <w:between w:val="nil"/>
        </w:pBdr>
        <w:spacing w:before="0" w:after="0"/>
        <w:ind w:right="0"/>
      </w:pPr>
      <w:r>
        <w:rPr>
          <w:b/>
          <w:bCs/>
        </w:rPr>
        <w:t>Transparency Matters:</w:t>
      </w:r>
      <w:r>
        <w:t xml:space="preserve"> Ethically, nudges work best when they are transparent and aligned with consumer interests (such as food safety or personal health) rather than manipulative or covert.</w:t>
      </w:r>
    </w:p>
    <w:p w14:paraId="5B70711E" w14:textId="77777777" w:rsidR="00FB019D" w:rsidRDefault="00000000">
      <w:pPr>
        <w:pBdr>
          <w:top w:val="nil"/>
          <w:left w:val="nil"/>
          <w:bottom w:val="nil"/>
          <w:right w:val="nil"/>
          <w:between w:val="nil"/>
        </w:pBdr>
        <w:spacing w:before="320" w:after="320"/>
        <w:ind w:left="0" w:right="0"/>
        <w:rPr>
          <w:color w:val="0000EE"/>
          <w:u w:val="single"/>
        </w:rPr>
      </w:pPr>
      <w:hyperlink r:id="rId6">
        <w:r>
          <w:rPr>
            <w:color w:val="0000EE"/>
            <w:u w:val="single"/>
          </w:rPr>
          <w:t>Green grocery shopping guide</w:t>
        </w:r>
      </w:hyperlink>
    </w:p>
    <w:p w14:paraId="5B70711F" w14:textId="77777777" w:rsidR="00FB019D" w:rsidRDefault="00000000">
      <w:pPr>
        <w:pBdr>
          <w:top w:val="nil"/>
          <w:left w:val="nil"/>
          <w:bottom w:val="nil"/>
          <w:right w:val="nil"/>
          <w:between w:val="nil"/>
        </w:pBdr>
        <w:spacing w:before="0" w:after="320"/>
        <w:ind w:left="0" w:right="0"/>
        <w:rPr>
          <w:i/>
          <w:iCs/>
          <w:color w:val="0000EE"/>
          <w:u w:val="single"/>
        </w:rPr>
      </w:pPr>
      <w:r>
        <w:t xml:space="preserve">This video examines how modern supermarkets utilize structural store layouts, shelf tags, and green placement strategies to nudge shoppers toward more sustainable food choices. http://googleusercontent.com/youtube_content/1 </w:t>
      </w:r>
      <w:r>
        <w:rPr>
          <w:i/>
          <w:iCs/>
        </w:rPr>
        <w:t xml:space="preserve">YouTube video views will be stored in your YouTube History, and your data will be stored and used by YouTube according to its </w:t>
      </w:r>
      <w:hyperlink r:id="rId7">
        <w:r>
          <w:rPr>
            <w:i/>
            <w:iCs/>
            <w:color w:val="0000EE"/>
            <w:u w:val="single"/>
          </w:rPr>
          <w:t>Terms of Service</w:t>
        </w:r>
      </w:hyperlink>
    </w:p>
    <w:p w14:paraId="5B707120" w14:textId="77777777" w:rsidR="00FB019D" w:rsidRDefault="00000000">
      <w:pPr>
        <w:pBdr>
          <w:top w:val="nil"/>
          <w:left w:val="nil"/>
          <w:bottom w:val="nil"/>
          <w:right w:val="nil"/>
          <w:between w:val="nil"/>
        </w:pBdr>
        <w:spacing w:before="0" w:after="0"/>
        <w:ind w:left="0" w:right="0"/>
        <w:rPr>
          <w:i/>
          <w:iCs/>
          <w:color w:val="0000EE"/>
          <w:u w:val="single"/>
        </w:rPr>
      </w:pPr>
      <w:r>
        <w:pict w14:anchorId="5B7072EF">
          <v:rect id="_x0000_i1043" style="width:0;height:1.5pt" o:hralign="center" o:hrstd="t" o:hr="t" fillcolor="#a0a0a0" stroked="f"/>
        </w:pict>
      </w:r>
    </w:p>
    <w:p w14:paraId="5B707121"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Can you give me the papers you mentioned?</w:t>
      </w:r>
    </w:p>
    <w:p w14:paraId="5B707122" w14:textId="77777777" w:rsidR="00FB019D" w:rsidRDefault="00000000">
      <w:pPr>
        <w:pBdr>
          <w:top w:val="nil"/>
          <w:left w:val="nil"/>
          <w:bottom w:val="nil"/>
          <w:right w:val="nil"/>
          <w:between w:val="nil"/>
        </w:pBdr>
        <w:spacing w:before="0" w:after="320"/>
        <w:ind w:left="0" w:right="0"/>
      </w:pPr>
      <w:r>
        <w:t>Response: The key peer-reviewed papers and systematic reviews referenced across our discussion of choice architecture, behavioral nudges, and sustainable consumer choices include:</w:t>
      </w:r>
    </w:p>
    <w:p w14:paraId="5B707123" w14:textId="77777777" w:rsidR="00FB019D" w:rsidRDefault="00000000">
      <w:pPr>
        <w:pStyle w:val="Heading3"/>
        <w:spacing w:before="0"/>
      </w:pPr>
      <w:r>
        <w:lastRenderedPageBreak/>
        <w:t>1. On Choice Architecture, Nudging Frameworks, and Relative Effectiveness</w:t>
      </w:r>
    </w:p>
    <w:p w14:paraId="5B707124" w14:textId="77777777" w:rsidR="00FB019D" w:rsidRDefault="00000000">
      <w:pPr>
        <w:numPr>
          <w:ilvl w:val="0"/>
          <w:numId w:val="75"/>
        </w:numPr>
        <w:pBdr>
          <w:top w:val="nil"/>
          <w:left w:val="nil"/>
          <w:bottom w:val="nil"/>
          <w:right w:val="nil"/>
          <w:between w:val="nil"/>
        </w:pBdr>
        <w:spacing w:before="0" w:after="0"/>
        <w:ind w:right="0"/>
      </w:pPr>
      <w:r>
        <w:rPr>
          <w:b/>
          <w:bCs/>
        </w:rPr>
        <w:t>Cadario, R., &amp; Chandon, P. (2020).</w:t>
      </w:r>
      <w:r>
        <w:t xml:space="preserve"> </w:t>
      </w:r>
      <w:r>
        <w:rPr>
          <w:i/>
          <w:iCs/>
        </w:rPr>
        <w:t>Which healthy eating nudges work best? A meta-analysis of field experiments.</w:t>
      </w:r>
      <w:r>
        <w:t xml:space="preserve"> </w:t>
      </w:r>
      <w:r>
        <w:rPr>
          <w:b/>
          <w:bCs/>
        </w:rPr>
        <w:t>Marketing Science</w:t>
      </w:r>
      <w:r>
        <w:t>, 39(3), 465–486.</w:t>
      </w:r>
    </w:p>
    <w:p w14:paraId="5B707125" w14:textId="77777777" w:rsidR="00FB019D" w:rsidRDefault="00000000">
      <w:pPr>
        <w:numPr>
          <w:ilvl w:val="1"/>
          <w:numId w:val="76"/>
        </w:numPr>
        <w:pBdr>
          <w:top w:val="nil"/>
          <w:left w:val="nil"/>
          <w:bottom w:val="nil"/>
          <w:right w:val="nil"/>
          <w:between w:val="nil"/>
        </w:pBdr>
        <w:spacing w:before="0" w:after="0"/>
        <w:ind w:right="0"/>
      </w:pPr>
      <w:r>
        <w:rPr>
          <w:b/>
          <w:bCs/>
        </w:rPr>
        <w:t>Key Finding:</w:t>
      </w:r>
      <w:r>
        <w:t xml:space="preserve"> Evaluates 96 field experiments and categorizes nudges into cognitive (labels), affective (appeals), and behavioral (convenience, defaults, size). It demonstrates that behavioral nudges (changing convenience, placement, or defaults) have an effect size (</w:t>
      </w:r>
      <w:r>
        <w:rPr>
          <w:rFonts w:ascii="Arial" w:eastAsia="Arial" w:hAnsi="Arial" w:cs="Arial"/>
          <w:i/>
          <w:iCs/>
        </w:rPr>
        <w:t>d</w:t>
      </w:r>
      <w:r>
        <w:t xml:space="preserve">=0.39) </w:t>
      </w:r>
      <w:r>
        <w:rPr>
          <w:b/>
          <w:bCs/>
        </w:rPr>
        <w:t>more than three times larger</w:t>
      </w:r>
      <w:r>
        <w:t xml:space="preserve"> than cognitive informational nudges (</w:t>
      </w:r>
      <w:r>
        <w:rPr>
          <w:rFonts w:ascii="Arial" w:eastAsia="Arial" w:hAnsi="Arial" w:cs="Arial"/>
          <w:i/>
          <w:iCs/>
        </w:rPr>
        <w:t>d</w:t>
      </w:r>
      <w:r>
        <w:t>=0.12).</w:t>
      </w:r>
    </w:p>
    <w:p w14:paraId="5B707126" w14:textId="77777777" w:rsidR="00FB019D" w:rsidRDefault="00000000">
      <w:pPr>
        <w:numPr>
          <w:ilvl w:val="0"/>
          <w:numId w:val="75"/>
        </w:numPr>
        <w:pBdr>
          <w:top w:val="nil"/>
          <w:left w:val="nil"/>
          <w:bottom w:val="nil"/>
          <w:right w:val="nil"/>
          <w:between w:val="nil"/>
        </w:pBdr>
        <w:spacing w:before="0" w:after="0"/>
        <w:ind w:right="0"/>
      </w:pPr>
      <w:r>
        <w:rPr>
          <w:b/>
          <w:bCs/>
        </w:rPr>
        <w:t>Mertens, S., Herberz, M., Hahnel, U. J., &amp; Brosch, T. (2022).</w:t>
      </w:r>
      <w:r>
        <w:t xml:space="preserve"> </w:t>
      </w:r>
      <w:r>
        <w:rPr>
          <w:i/>
          <w:iCs/>
        </w:rPr>
        <w:t>The effectiveness of nudging: A meta-analysis of choice architecture interventions across behavioral domains.</w:t>
      </w:r>
      <w:r>
        <w:t xml:space="preserve"> </w:t>
      </w:r>
      <w:r>
        <w:rPr>
          <w:b/>
          <w:bCs/>
        </w:rPr>
        <w:t>Proceedings of the National Academy of Sciences (PNAS)</w:t>
      </w:r>
      <w:r>
        <w:t>, 119(1), e2107346118.</w:t>
      </w:r>
    </w:p>
    <w:p w14:paraId="5B707127" w14:textId="77777777" w:rsidR="00FB019D" w:rsidRDefault="00000000">
      <w:pPr>
        <w:numPr>
          <w:ilvl w:val="1"/>
          <w:numId w:val="77"/>
        </w:numPr>
        <w:pBdr>
          <w:top w:val="nil"/>
          <w:left w:val="nil"/>
          <w:bottom w:val="nil"/>
          <w:right w:val="nil"/>
          <w:between w:val="nil"/>
        </w:pBdr>
        <w:spacing w:before="0" w:after="0"/>
        <w:ind w:right="0"/>
      </w:pPr>
      <w:r>
        <w:rPr>
          <w:b/>
          <w:bCs/>
        </w:rPr>
        <w:t>Key Finding:</w:t>
      </w:r>
      <w:r>
        <w:t xml:space="preserve"> A landmark meta-analysis across over 200 studies showing that food and dietary decisions are significantly more responsive to choice architecture than decisions in other policy domains (e.g., energy use or finance). </w:t>
      </w:r>
      <w:r>
        <w:rPr>
          <w:i/>
          <w:iCs/>
        </w:rPr>
        <w:t>(Note: Follow-up methodological debates in PNAS emphasize adjusting for publication bias, confirming that structural defaults and menu positioning remain the most robust behavioral interventions).</w:t>
      </w:r>
    </w:p>
    <w:p w14:paraId="5B707128" w14:textId="77777777" w:rsidR="00FB019D" w:rsidRDefault="00000000">
      <w:pPr>
        <w:pStyle w:val="Heading3"/>
      </w:pPr>
      <w:r>
        <w:t>2. On Modern Digital Retailing, Menu Positioning, and Default Placement</w:t>
      </w:r>
    </w:p>
    <w:p w14:paraId="5B707129" w14:textId="77777777" w:rsidR="00FB019D" w:rsidRDefault="00000000">
      <w:pPr>
        <w:numPr>
          <w:ilvl w:val="0"/>
          <w:numId w:val="78"/>
        </w:numPr>
        <w:pBdr>
          <w:top w:val="nil"/>
          <w:left w:val="nil"/>
          <w:bottom w:val="nil"/>
          <w:right w:val="nil"/>
          <w:between w:val="nil"/>
        </w:pBdr>
        <w:spacing w:before="0" w:after="0"/>
        <w:ind w:right="0"/>
      </w:pPr>
      <w:r>
        <w:rPr>
          <w:b/>
          <w:bCs/>
        </w:rPr>
        <w:t>Lohmann, P. M., Pizzo, A., et al. (2024).</w:t>
      </w:r>
      <w:r>
        <w:t xml:space="preserve"> </w:t>
      </w:r>
      <w:r>
        <w:rPr>
          <w:i/>
          <w:iCs/>
        </w:rPr>
        <w:t>Choice architecture promotes sustainable choices in online food-delivery apps.</w:t>
      </w:r>
      <w:r>
        <w:t xml:space="preserve"> </w:t>
      </w:r>
      <w:r>
        <w:rPr>
          <w:b/>
          <w:bCs/>
        </w:rPr>
        <w:t>Research Report / Working Paper Series</w:t>
      </w:r>
      <w:r>
        <w:t>.</w:t>
      </w:r>
    </w:p>
    <w:p w14:paraId="5B70712A" w14:textId="77777777" w:rsidR="00FB019D" w:rsidRDefault="00000000">
      <w:pPr>
        <w:numPr>
          <w:ilvl w:val="1"/>
          <w:numId w:val="79"/>
        </w:numPr>
        <w:pBdr>
          <w:top w:val="nil"/>
          <w:left w:val="nil"/>
          <w:bottom w:val="nil"/>
          <w:right w:val="nil"/>
          <w:between w:val="nil"/>
        </w:pBdr>
        <w:spacing w:before="0" w:after="0"/>
        <w:ind w:right="0"/>
      </w:pPr>
      <w:r>
        <w:rPr>
          <w:b/>
          <w:bCs/>
        </w:rPr>
        <w:t>Key Finding:</w:t>
      </w:r>
      <w:r>
        <w:t xml:space="preserve"> Tests digital choice architecture on food platforms and finds that </w:t>
      </w:r>
      <w:r>
        <w:rPr>
          <w:b/>
          <w:bCs/>
        </w:rPr>
        <w:t>menu repositioning</w:t>
      </w:r>
      <w:r>
        <w:t xml:space="preserve"> (placing low-carbon and sustainable options at the top of default listings) reduced the average carbon footprint per meal order by 12% and lowered high-carbon selections by 13%—outperforming carbon footprint labels alone.</w:t>
      </w:r>
    </w:p>
    <w:p w14:paraId="5B70712B" w14:textId="77777777" w:rsidR="00FB019D" w:rsidRDefault="00000000">
      <w:pPr>
        <w:numPr>
          <w:ilvl w:val="0"/>
          <w:numId w:val="78"/>
        </w:numPr>
        <w:pBdr>
          <w:top w:val="nil"/>
          <w:left w:val="nil"/>
          <w:bottom w:val="nil"/>
          <w:right w:val="nil"/>
          <w:between w:val="nil"/>
        </w:pBdr>
        <w:spacing w:before="0" w:after="0"/>
        <w:ind w:right="0"/>
      </w:pPr>
      <w:r>
        <w:rPr>
          <w:b/>
          <w:bCs/>
        </w:rPr>
        <w:t>Potter, C., Bastounis, A., Hartmann-Boyce, J., Stewart, C., Frie, K., Tudor, K., Bianchi, F., Cartwright, E., Cook, B., Rayner, M., &amp; Jebb, S. A. (2021).</w:t>
      </w:r>
      <w:r>
        <w:t xml:space="preserve"> </w:t>
      </w:r>
      <w:r>
        <w:rPr>
          <w:i/>
          <w:iCs/>
        </w:rPr>
        <w:t>The effects of environmental sustainability labels on selection, purchase, and consumption of food and drink products: A systematic review.</w:t>
      </w:r>
      <w:r>
        <w:t xml:space="preserve"> </w:t>
      </w:r>
      <w:r>
        <w:rPr>
          <w:b/>
          <w:bCs/>
        </w:rPr>
        <w:t>Environment and Behavior</w:t>
      </w:r>
      <w:r>
        <w:t>, 53(8), 891–925.</w:t>
      </w:r>
    </w:p>
    <w:p w14:paraId="5B70712C" w14:textId="77777777" w:rsidR="00FB019D" w:rsidRDefault="00000000">
      <w:pPr>
        <w:numPr>
          <w:ilvl w:val="1"/>
          <w:numId w:val="80"/>
        </w:numPr>
        <w:pBdr>
          <w:top w:val="nil"/>
          <w:left w:val="nil"/>
          <w:bottom w:val="nil"/>
          <w:right w:val="nil"/>
          <w:between w:val="nil"/>
        </w:pBdr>
        <w:spacing w:before="0" w:after="0"/>
        <w:ind w:right="0"/>
      </w:pPr>
      <w:r>
        <w:rPr>
          <w:b/>
          <w:bCs/>
        </w:rPr>
        <w:t>Key Finding:</w:t>
      </w:r>
      <w:r>
        <w:t xml:space="preserve"> A systematic review of 56 comparisons showing that eco-labeling generally favors sustainable selection, but works best when combined with simple visual formats or structural cues rather than complex text disclosures.</w:t>
      </w:r>
    </w:p>
    <w:p w14:paraId="5B70712D" w14:textId="77777777" w:rsidR="00FB019D" w:rsidRDefault="00000000">
      <w:pPr>
        <w:pStyle w:val="Heading3"/>
      </w:pPr>
      <w:r>
        <w:t>3. On Sustainability Labels, Willingness-to-Pay, and Meta-Analyses</w:t>
      </w:r>
    </w:p>
    <w:p w14:paraId="5B70712E" w14:textId="77777777" w:rsidR="00FB019D" w:rsidRDefault="00000000">
      <w:pPr>
        <w:numPr>
          <w:ilvl w:val="0"/>
          <w:numId w:val="81"/>
        </w:numPr>
        <w:pBdr>
          <w:top w:val="nil"/>
          <w:left w:val="nil"/>
          <w:bottom w:val="nil"/>
          <w:right w:val="nil"/>
          <w:between w:val="nil"/>
        </w:pBdr>
        <w:spacing w:before="0" w:after="0"/>
        <w:ind w:right="0"/>
      </w:pPr>
      <w:r>
        <w:rPr>
          <w:b/>
          <w:bCs/>
        </w:rPr>
        <w:t>Bastounis, A., Buckell, J., Hartmann-Boyce, J., Cook, B., King, S., Potter, C., Bianchi, F., Rayner, M., &amp; Jebb, S. A. (2021).</w:t>
      </w:r>
      <w:r>
        <w:t xml:space="preserve"> </w:t>
      </w:r>
      <w:r>
        <w:rPr>
          <w:i/>
          <w:iCs/>
        </w:rPr>
        <w:t>The impact of environmental sustainability labels on willingness-to-pay for foods: A systematic review and meta-analysis of discrete choice experiments.</w:t>
      </w:r>
      <w:r>
        <w:t xml:space="preserve"> </w:t>
      </w:r>
      <w:r>
        <w:rPr>
          <w:b/>
          <w:bCs/>
        </w:rPr>
        <w:t>Nutrients</w:t>
      </w:r>
      <w:r>
        <w:t>, 13(8), 2677.</w:t>
      </w:r>
    </w:p>
    <w:p w14:paraId="5B70712F" w14:textId="77777777" w:rsidR="00FB019D" w:rsidRDefault="00000000">
      <w:pPr>
        <w:numPr>
          <w:ilvl w:val="1"/>
          <w:numId w:val="82"/>
        </w:numPr>
        <w:pBdr>
          <w:top w:val="nil"/>
          <w:left w:val="nil"/>
          <w:bottom w:val="nil"/>
          <w:right w:val="nil"/>
          <w:between w:val="nil"/>
        </w:pBdr>
        <w:spacing w:before="0" w:after="0"/>
        <w:ind w:right="0"/>
      </w:pPr>
      <w:r>
        <w:rPr>
          <w:b/>
          <w:bCs/>
        </w:rPr>
        <w:t>Key Finding:</w:t>
      </w:r>
      <w:r>
        <w:t xml:space="preserve"> Quantifies the premium consumers state they will pay for eco-labeled goods (average ~3.79 USD PPP/kg), while highlighting how price sensitivity remains the binding constraint preventing intentions from converting to actual purchases.</w:t>
      </w:r>
    </w:p>
    <w:p w14:paraId="5B707130" w14:textId="77777777" w:rsidR="00FB019D" w:rsidRDefault="00000000">
      <w:pPr>
        <w:numPr>
          <w:ilvl w:val="0"/>
          <w:numId w:val="81"/>
        </w:numPr>
        <w:pBdr>
          <w:top w:val="nil"/>
          <w:left w:val="nil"/>
          <w:bottom w:val="nil"/>
          <w:right w:val="nil"/>
          <w:between w:val="nil"/>
        </w:pBdr>
        <w:spacing w:before="0" w:after="0"/>
        <w:ind w:right="0"/>
      </w:pPr>
      <w:r>
        <w:rPr>
          <w:b/>
          <w:bCs/>
        </w:rPr>
        <w:t>Li, S., &amp; Kallas, Z. (2021).</w:t>
      </w:r>
      <w:r>
        <w:t xml:space="preserve"> </w:t>
      </w:r>
      <w:r>
        <w:rPr>
          <w:i/>
          <w:iCs/>
        </w:rPr>
        <w:t>Meta-analysis of consumers' willingness to pay for sustainable food products.</w:t>
      </w:r>
      <w:r>
        <w:t xml:space="preserve"> </w:t>
      </w:r>
      <w:r>
        <w:rPr>
          <w:b/>
          <w:bCs/>
        </w:rPr>
        <w:t>Appetite</w:t>
      </w:r>
      <w:r>
        <w:t>, 163, 105239.</w:t>
      </w:r>
    </w:p>
    <w:p w14:paraId="5B707131" w14:textId="77777777" w:rsidR="00FB019D" w:rsidRDefault="00000000">
      <w:pPr>
        <w:numPr>
          <w:ilvl w:val="1"/>
          <w:numId w:val="83"/>
        </w:numPr>
        <w:pBdr>
          <w:top w:val="nil"/>
          <w:left w:val="nil"/>
          <w:bottom w:val="nil"/>
          <w:right w:val="nil"/>
          <w:between w:val="nil"/>
        </w:pBdr>
        <w:spacing w:before="0" w:after="0"/>
        <w:ind w:right="0"/>
      </w:pPr>
      <w:r>
        <w:rPr>
          <w:b/>
          <w:bCs/>
        </w:rPr>
        <w:t>Key Finding:</w:t>
      </w:r>
      <w:r>
        <w:t xml:space="preserve"> Synthesizes global literature on willingness-to-pay, showing an average ~29.5% premium for sustainable attributes, strongly driven by perceived personal health co-benefits ("health halo") and organic certifications.</w:t>
      </w:r>
    </w:p>
    <w:p w14:paraId="5B707132" w14:textId="77777777" w:rsidR="00FB019D" w:rsidRDefault="00000000">
      <w:pPr>
        <w:numPr>
          <w:ilvl w:val="0"/>
          <w:numId w:val="81"/>
        </w:numPr>
        <w:pBdr>
          <w:top w:val="nil"/>
          <w:left w:val="nil"/>
          <w:bottom w:val="nil"/>
          <w:right w:val="nil"/>
          <w:between w:val="nil"/>
        </w:pBdr>
        <w:spacing w:before="0" w:after="0"/>
        <w:ind w:right="0"/>
      </w:pPr>
      <w:r>
        <w:rPr>
          <w:b/>
          <w:bCs/>
        </w:rPr>
        <w:t>Tran, D., Schouteten, J. J., Gellynck, X., &amp; De Steur, H. (2024).</w:t>
      </w:r>
      <w:r>
        <w:t xml:space="preserve"> </w:t>
      </w:r>
      <w:r>
        <w:rPr>
          <w:i/>
          <w:iCs/>
        </w:rPr>
        <w:t>How do consumers value food traceability? – A meta-analysis.</w:t>
      </w:r>
      <w:r>
        <w:t xml:space="preserve"> </w:t>
      </w:r>
      <w:r>
        <w:rPr>
          <w:b/>
          <w:bCs/>
        </w:rPr>
        <w:t>Food Control</w:t>
      </w:r>
      <w:r>
        <w:t>, 162, 110453.</w:t>
      </w:r>
    </w:p>
    <w:p w14:paraId="5B707133" w14:textId="77777777" w:rsidR="00FB019D" w:rsidRDefault="00000000">
      <w:pPr>
        <w:numPr>
          <w:ilvl w:val="1"/>
          <w:numId w:val="84"/>
        </w:numPr>
        <w:pBdr>
          <w:top w:val="nil"/>
          <w:left w:val="nil"/>
          <w:bottom w:val="nil"/>
          <w:right w:val="nil"/>
          <w:between w:val="nil"/>
        </w:pBdr>
        <w:spacing w:before="0" w:after="0"/>
        <w:ind w:right="0"/>
      </w:pPr>
      <w:r>
        <w:rPr>
          <w:b/>
          <w:bCs/>
        </w:rPr>
        <w:t>Key Finding:</w:t>
      </w:r>
      <w:r>
        <w:t xml:space="preserve"> Shows consumers globally are willing to pay ~32% more for traceable food products, but notes that hiding information behind QR codes reduces the premium by 17% compared to direct visual displays.</w:t>
      </w:r>
    </w:p>
    <w:p w14:paraId="5B707134" w14:textId="77777777" w:rsidR="00FB019D" w:rsidRDefault="00000000">
      <w:pPr>
        <w:pBdr>
          <w:top w:val="nil"/>
          <w:left w:val="nil"/>
          <w:bottom w:val="nil"/>
          <w:right w:val="nil"/>
          <w:between w:val="nil"/>
        </w:pBdr>
        <w:spacing w:before="0" w:after="0"/>
        <w:ind w:left="0" w:right="0"/>
      </w:pPr>
      <w:r>
        <w:lastRenderedPageBreak/>
        <w:pict w14:anchorId="5B7072F0">
          <v:rect id="_x0000_i1044" style="width:0;height:1.5pt" o:hralign="center" o:hrstd="t" o:hr="t" fillcolor="#a0a0a0" stroked="f"/>
        </w:pict>
      </w:r>
    </w:p>
    <w:p w14:paraId="5B707135"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Okay so Q13 is addressed. Q14. Can you explain "elasticity". Also the case of failure in Thailand's organic labelling. In Vietnam, it is not totally failures but VietGAP's success is very slow and not certain.</w:t>
      </w:r>
    </w:p>
    <w:p w14:paraId="5B707136"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137" w14:textId="77777777" w:rsidR="00FB019D" w:rsidRDefault="00000000">
      <w:pPr>
        <w:numPr>
          <w:ilvl w:val="0"/>
          <w:numId w:val="85"/>
        </w:numPr>
        <w:pBdr>
          <w:top w:val="nil"/>
          <w:left w:val="nil"/>
          <w:bottom w:val="nil"/>
          <w:right w:val="nil"/>
          <w:between w:val="nil"/>
        </w:pBdr>
        <w:spacing w:before="0" w:after="0"/>
        <w:ind w:right="0"/>
      </w:pPr>
      <w:r>
        <w:rPr>
          <w:i/>
          <w:iCs/>
        </w:rPr>
        <w:t>Q14:</w:t>
      </w:r>
      <w:r>
        <w:t xml:space="preserve"> "What is the price elasticity of demand for certified sustainable products among different socio-economic strata in ASEAN, and at what price differential threshold does sustainability cease to influence consumer choice?"</w:t>
      </w:r>
    </w:p>
    <w:p w14:paraId="5B707138" w14:textId="77777777" w:rsidR="00FB019D" w:rsidRDefault="00000000">
      <w:pPr>
        <w:pStyle w:val="Heading3"/>
        <w:spacing w:after="320"/>
      </w:pPr>
      <w:r>
        <w:t>1. Explaining "Elasticity" in Food Systems &amp; Sustainable Products</w:t>
      </w:r>
    </w:p>
    <w:p w14:paraId="5B707139" w14:textId="77777777" w:rsidR="00FB019D" w:rsidRDefault="00000000">
      <w:pPr>
        <w:pBdr>
          <w:top w:val="nil"/>
          <w:left w:val="nil"/>
          <w:bottom w:val="nil"/>
          <w:right w:val="nil"/>
          <w:between w:val="nil"/>
        </w:pBdr>
        <w:spacing w:before="0" w:after="320"/>
        <w:ind w:left="0" w:right="0"/>
      </w:pPr>
      <w:r>
        <w:t xml:space="preserve">In economics, </w:t>
      </w:r>
      <w:r>
        <w:rPr>
          <w:b/>
          <w:bCs/>
        </w:rPr>
        <w:t>Price Elasticity of Demand (PED)</w:t>
      </w:r>
      <w:r>
        <w:t xml:space="preserve"> measures how sensitive the quantity demanded of a good is to a change in its price:</w:t>
      </w:r>
    </w:p>
    <w:p w14:paraId="5B70713A" w14:textId="77777777" w:rsidR="00FB019D" w:rsidRDefault="00000000">
      <w:pPr>
        <w:pBdr>
          <w:top w:val="nil"/>
          <w:left w:val="nil"/>
          <w:bottom w:val="nil"/>
          <w:right w:val="nil"/>
          <w:between w:val="nil"/>
        </w:pBdr>
        <w:spacing w:before="0" w:after="0"/>
        <w:ind w:left="0" w:right="0"/>
        <w:rPr>
          <w:sz w:val="2"/>
          <w:szCs w:val="2"/>
        </w:rPr>
      </w:pPr>
      <w:r>
        <w:t>PED=% Change in Price% Change in Quantity Demanded</w:t>
      </w:r>
      <w:r>
        <w:rPr>
          <w:sz w:val="2"/>
          <w:szCs w:val="2"/>
        </w:rPr>
        <w:t>​</w:t>
      </w:r>
    </w:p>
    <w:p w14:paraId="5B70713B" w14:textId="77777777" w:rsidR="00FB019D" w:rsidRDefault="00000000">
      <w:pPr>
        <w:numPr>
          <w:ilvl w:val="0"/>
          <w:numId w:val="87"/>
        </w:numPr>
        <w:pBdr>
          <w:top w:val="nil"/>
          <w:left w:val="nil"/>
          <w:bottom w:val="nil"/>
          <w:right w:val="nil"/>
          <w:between w:val="nil"/>
        </w:pBdr>
        <w:spacing w:before="0" w:after="0"/>
        <w:ind w:right="0"/>
      </w:pPr>
      <w:r>
        <w:rPr>
          <w:b/>
          <w:bCs/>
        </w:rPr>
        <w:t>Price Inelastic (∣PED∣&lt;1):</w:t>
      </w:r>
      <w:r>
        <w:t xml:space="preserve"> Demand changes very little when the price changes. Basic staples (like conventional rice or salt) are price-inelastic because consumers must buy them regardless of small price hikes.</w:t>
      </w:r>
    </w:p>
    <w:p w14:paraId="5B70713C" w14:textId="77777777" w:rsidR="00FB019D" w:rsidRDefault="00000000">
      <w:pPr>
        <w:numPr>
          <w:ilvl w:val="0"/>
          <w:numId w:val="87"/>
        </w:numPr>
        <w:pBdr>
          <w:top w:val="nil"/>
          <w:left w:val="nil"/>
          <w:bottom w:val="nil"/>
          <w:right w:val="nil"/>
          <w:between w:val="nil"/>
        </w:pBdr>
        <w:spacing w:before="0" w:after="0"/>
        <w:ind w:right="0"/>
      </w:pPr>
      <w:r>
        <w:rPr>
          <w:b/>
          <w:bCs/>
        </w:rPr>
        <w:t>Price Elastic (∣PED∣&gt;1):</w:t>
      </w:r>
      <w:r>
        <w:t xml:space="preserve"> Demand drops sharply when the price increases. Sustainable, organic, or eco-certified foods typically exhibit </w:t>
      </w:r>
      <w:r>
        <w:rPr>
          <w:b/>
          <w:bCs/>
        </w:rPr>
        <w:t>high price elasticity</w:t>
      </w:r>
      <w:r>
        <w:t xml:space="preserve"> (∣PED∣ often ranging between 1.2 and 2.5 in global empirical literature).</w:t>
      </w:r>
    </w:p>
    <w:p w14:paraId="5B70713D" w14:textId="77777777" w:rsidR="00FB019D" w:rsidRDefault="00000000">
      <w:pPr>
        <w:pStyle w:val="Heading4"/>
      </w:pPr>
      <w:r>
        <w:t>The Socio-Economic Threshold and Price Gap</w:t>
      </w:r>
    </w:p>
    <w:p w14:paraId="5B70713E" w14:textId="77777777" w:rsidR="00FB019D" w:rsidRDefault="00000000">
      <w:pPr>
        <w:numPr>
          <w:ilvl w:val="0"/>
          <w:numId w:val="88"/>
        </w:numPr>
        <w:pBdr>
          <w:top w:val="nil"/>
          <w:left w:val="nil"/>
          <w:bottom w:val="nil"/>
          <w:right w:val="nil"/>
          <w:between w:val="nil"/>
        </w:pBdr>
        <w:spacing w:before="0" w:after="0"/>
        <w:ind w:right="0"/>
      </w:pPr>
      <w:r>
        <w:rPr>
          <w:b/>
          <w:bCs/>
        </w:rPr>
        <w:t>The High-Income Stratum:</w:t>
      </w:r>
      <w:r>
        <w:t xml:space="preserve"> Upper-middle and high-income urban consumers treat certified sustainable products as relatively inelastic goods—they are willing to pay a consistent premium (typically 15% to 30%) because personal health protection, convenience, and status outweigh minor price fluctuations.</w:t>
      </w:r>
    </w:p>
    <w:p w14:paraId="5B70713F" w14:textId="77777777" w:rsidR="00FB019D" w:rsidRDefault="00000000">
      <w:pPr>
        <w:numPr>
          <w:ilvl w:val="0"/>
          <w:numId w:val="88"/>
        </w:numPr>
        <w:pBdr>
          <w:top w:val="nil"/>
          <w:left w:val="nil"/>
          <w:bottom w:val="nil"/>
          <w:right w:val="nil"/>
          <w:between w:val="nil"/>
        </w:pBdr>
        <w:spacing w:before="0" w:after="0"/>
        <w:ind w:right="0"/>
      </w:pPr>
      <w:r>
        <w:rPr>
          <w:b/>
          <w:bCs/>
        </w:rPr>
        <w:t>The Low-to-Middle-Income Stratum:</w:t>
      </w:r>
      <w:r>
        <w:t xml:space="preserve"> For the majority of urban and rural households in LMICs, certified sustainable foods are </w:t>
      </w:r>
      <w:r>
        <w:rPr>
          <w:b/>
          <w:bCs/>
        </w:rPr>
        <w:t>highly price-elastic</w:t>
      </w:r>
      <w:r>
        <w:t xml:space="preserve">. Empirical studies across Southeast Asia indicate that once the price premium of certified food exceeds </w:t>
      </w:r>
      <w:r>
        <w:rPr>
          <w:b/>
          <w:bCs/>
        </w:rPr>
        <w:t>15%–20% above conventional baseline prices</w:t>
      </w:r>
      <w:r>
        <w:t>, demand drops off precipitously. At a 30%+ premium, sustainability attributes cease to influence consumer choice, and purchasing decisions default entirely to base price and physical convenience.</w:t>
      </w:r>
    </w:p>
    <w:p w14:paraId="5B707140" w14:textId="77777777" w:rsidR="00FB019D" w:rsidRDefault="00000000">
      <w:pPr>
        <w:pStyle w:val="Heading3"/>
        <w:spacing w:after="320"/>
      </w:pPr>
      <w:r>
        <w:t>2. Case Study: Why Thailand’s National Organic Promotion Stalled</w:t>
      </w:r>
    </w:p>
    <w:p w14:paraId="5B707141" w14:textId="77777777" w:rsidR="00FB019D" w:rsidRDefault="00000000">
      <w:pPr>
        <w:pBdr>
          <w:top w:val="nil"/>
          <w:left w:val="nil"/>
          <w:bottom w:val="nil"/>
          <w:right w:val="nil"/>
          <w:between w:val="nil"/>
        </w:pBdr>
        <w:spacing w:before="0" w:after="320"/>
        <w:ind w:left="0" w:right="0"/>
      </w:pPr>
      <w:r>
        <w:t>Thailand has long strived to lead organic and sustainable agriculture in Southeast Asia, but its top-down government efforts to scale organic labeling and organic rice schemes faced systemic failures due to structural policy and market mismatches:</w:t>
      </w:r>
    </w:p>
    <w:p w14:paraId="5B707142" w14:textId="77777777" w:rsidR="00FB019D" w:rsidRDefault="00000000">
      <w:pPr>
        <w:numPr>
          <w:ilvl w:val="0"/>
          <w:numId w:val="89"/>
        </w:numPr>
        <w:pBdr>
          <w:top w:val="nil"/>
          <w:left w:val="nil"/>
          <w:bottom w:val="nil"/>
          <w:right w:val="nil"/>
          <w:between w:val="nil"/>
        </w:pBdr>
        <w:spacing w:before="0" w:after="0"/>
        <w:ind w:right="0"/>
      </w:pPr>
      <w:r>
        <w:rPr>
          <w:b/>
          <w:bCs/>
        </w:rPr>
        <w:t>The Policy/Conceptual Flaw (Top-Down Mandates without Infrastructure):</w:t>
      </w:r>
      <w:r>
        <w:t xml:space="preserve"> State programs heavily pushed organic rice production and certification targets on paper, but failed to build the necessary local extension networks, bio-input supply chains, or post-harvest storage infrastructure. Smallholders suffered severe early yield drops without receiving adequate multi-season transition cushions.</w:t>
      </w:r>
    </w:p>
    <w:p w14:paraId="5B707143" w14:textId="77777777" w:rsidR="00FB019D" w:rsidRDefault="00000000">
      <w:pPr>
        <w:numPr>
          <w:ilvl w:val="0"/>
          <w:numId w:val="89"/>
        </w:numPr>
        <w:pBdr>
          <w:top w:val="nil"/>
          <w:left w:val="nil"/>
          <w:bottom w:val="nil"/>
          <w:right w:val="nil"/>
          <w:between w:val="nil"/>
        </w:pBdr>
        <w:spacing w:before="0" w:after="0"/>
        <w:ind w:right="0"/>
      </w:pPr>
      <w:r>
        <w:rPr>
          <w:b/>
          <w:bCs/>
        </w:rPr>
        <w:lastRenderedPageBreak/>
        <w:t>Failure of Verification Alignment &amp; The "Lemons" Market:</w:t>
      </w:r>
      <w:r>
        <w:t xml:space="preserve"> The government promoted provincial and national organic seals, but export markets (Europe, North America, China) refused to grant mutual recognition without costly third-party international audits. Meanwhile, domestic consumers were confused by a clutter of overlapping government seals (e.g., Organic Thailand, Q-Mark, provincial standards) alongside unverified private brands.</w:t>
      </w:r>
    </w:p>
    <w:p w14:paraId="5B707144" w14:textId="77777777" w:rsidR="00FB019D" w:rsidRDefault="00000000">
      <w:pPr>
        <w:numPr>
          <w:ilvl w:val="0"/>
          <w:numId w:val="89"/>
        </w:numPr>
        <w:pBdr>
          <w:top w:val="nil"/>
          <w:left w:val="nil"/>
          <w:bottom w:val="nil"/>
          <w:right w:val="nil"/>
          <w:between w:val="nil"/>
        </w:pBdr>
        <w:spacing w:before="0" w:after="0"/>
        <w:ind w:right="0"/>
      </w:pPr>
      <w:r>
        <w:rPr>
          <w:b/>
          <w:bCs/>
        </w:rPr>
        <w:t>The Resulting Collapse in Trust:</w:t>
      </w:r>
      <w:r>
        <w:t xml:space="preserve"> Because unverified products labeled "organic" or "safe" flooded local markets without rigorous enforcement, consumer skepticism spiked. Unable to distinguish genuine organic goods from "lemons," domestic urban consumers refused to pay the high organic price premium. Farmers, facing high labor costs and low off-take prices, abandoned organic certification and reverted to conventional methods.</w:t>
      </w:r>
    </w:p>
    <w:p w14:paraId="5B707145" w14:textId="77777777" w:rsidR="00FB019D" w:rsidRDefault="00000000">
      <w:pPr>
        <w:pStyle w:val="Heading3"/>
        <w:spacing w:after="320"/>
      </w:pPr>
      <w:r>
        <w:t>3. The Case of VietGAP in Vietnam: Slow Progress, Institutional Barriers, and Consumer Realities</w:t>
      </w:r>
    </w:p>
    <w:p w14:paraId="5B707146" w14:textId="77777777" w:rsidR="00FB019D" w:rsidRDefault="00000000">
      <w:pPr>
        <w:pBdr>
          <w:top w:val="nil"/>
          <w:left w:val="nil"/>
          <w:bottom w:val="nil"/>
          <w:right w:val="nil"/>
          <w:between w:val="nil"/>
        </w:pBdr>
        <w:spacing w:before="0" w:after="320"/>
        <w:ind w:left="0" w:right="0"/>
      </w:pPr>
      <w:r>
        <w:t>As you noted, VietGAP (Vietnamese Good Agricultural Practices) is not a total failure, but its scaling has been notoriously slow, uneven, and uncertain. Looking at food environment transitions in Vietnam (e.g., Hanoi's fresh vegetable value chains), the structural bottlenecks explaining this slow adoption include:</w:t>
      </w:r>
    </w:p>
    <w:p w14:paraId="5B707147" w14:textId="77777777" w:rsidR="00FB019D" w:rsidRDefault="00000000">
      <w:pPr>
        <w:numPr>
          <w:ilvl w:val="0"/>
          <w:numId w:val="90"/>
        </w:numPr>
        <w:pBdr>
          <w:top w:val="nil"/>
          <w:left w:val="nil"/>
          <w:bottom w:val="nil"/>
          <w:right w:val="nil"/>
          <w:between w:val="nil"/>
        </w:pBdr>
        <w:spacing w:before="0" w:after="0"/>
        <w:ind w:right="0"/>
      </w:pPr>
      <w:r>
        <w:rPr>
          <w:b/>
          <w:bCs/>
        </w:rPr>
        <w:t>The Exclusion Paradox for Smallholders:</w:t>
      </w:r>
      <w:r>
        <w:t xml:space="preserve"> Achieving VietGAP requires compliance with strict record-keeping, soil/water testing, and annual recertification audits. For individual smallholders operating on micro-plots, these fixed financial and administrative costs are prohibitive unless absorbed by a well-capitalized cooperative or a commercial enterprise.</w:t>
      </w:r>
    </w:p>
    <w:p w14:paraId="5B707148" w14:textId="77777777" w:rsidR="00FB019D" w:rsidRDefault="00000000">
      <w:pPr>
        <w:numPr>
          <w:ilvl w:val="0"/>
          <w:numId w:val="90"/>
        </w:numPr>
        <w:pBdr>
          <w:top w:val="nil"/>
          <w:left w:val="nil"/>
          <w:bottom w:val="nil"/>
          <w:right w:val="nil"/>
          <w:between w:val="nil"/>
        </w:pBdr>
        <w:spacing w:before="0" w:after="0"/>
        <w:ind w:right="0"/>
      </w:pPr>
      <w:r>
        <w:rPr>
          <w:b/>
          <w:bCs/>
        </w:rPr>
        <w:t>Absence of Price Premiums &amp; Market Misalignment:</w:t>
      </w:r>
      <w:r>
        <w:t xml:space="preserve"> VietGAP was designed primarily as a baseline </w:t>
      </w:r>
      <w:r>
        <w:rPr>
          <w:b/>
          <w:bCs/>
        </w:rPr>
        <w:t>food safety standard</w:t>
      </w:r>
      <w:r>
        <w:t xml:space="preserve"> (focusing on chemical residue thresholds and hygiene) rather than a premium "organic" brand. However, because conventional wholesale collectors and traditional wet market vendors mix VietGAP produce with conventional produce, farmers rarely capture a price premium at the farm gate. Without an economic incentive or guaranteed off-take contracts, smallholders lack the motivation to maintain rigorous compliance once government or donor project subsidies expire.</w:t>
      </w:r>
    </w:p>
    <w:p w14:paraId="5B707149" w14:textId="77777777" w:rsidR="00FB019D" w:rsidRDefault="00000000">
      <w:pPr>
        <w:numPr>
          <w:ilvl w:val="0"/>
          <w:numId w:val="90"/>
        </w:numPr>
        <w:pBdr>
          <w:top w:val="nil"/>
          <w:left w:val="nil"/>
          <w:bottom w:val="nil"/>
          <w:right w:val="nil"/>
          <w:between w:val="nil"/>
        </w:pBdr>
        <w:spacing w:before="0" w:after="0"/>
        <w:ind w:right="0"/>
      </w:pPr>
      <w:r>
        <w:rPr>
          <w:b/>
          <w:bCs/>
        </w:rPr>
        <w:t>Consumer Trust Deficit &amp; Traditional Food Environment Resilience:</w:t>
      </w:r>
      <w:r>
        <w:t xml:space="preserve"> Urban consumers in Vietnam have historically struggled to trust certification seals due to inconsistent food safety enforcement and past mislabeling scandals. Furthermore, the </w:t>
      </w:r>
      <w:r>
        <w:rPr>
          <w:b/>
          <w:bCs/>
        </w:rPr>
        <w:t xml:space="preserve">traditional food environment (wet markets / </w:t>
      </w:r>
      <w:r>
        <w:rPr>
          <w:b/>
          <w:bCs/>
          <w:i/>
          <w:iCs/>
        </w:rPr>
        <w:t>chợ</w:t>
      </w:r>
      <w:r>
        <w:rPr>
          <w:b/>
          <w:bCs/>
        </w:rPr>
        <w:t>)</w:t>
      </w:r>
      <w:r>
        <w:t xml:space="preserve"> remains immensely resilient. In cities like Hanoi, traditional markets provide high spatial accessibility, fresh produce, and informal, trust-based relationships (</w:t>
      </w:r>
      <w:r>
        <w:rPr>
          <w:i/>
          <w:iCs/>
        </w:rPr>
        <w:t>thuận mua vừa bán</w:t>
      </w:r>
      <w:r>
        <w:t>) between vendors and buyers. Because VietGAP products are mostly funneled into modern supermarkets—which account for a smaller share of daily fresh food purchases for average households—VietGAP remains largely isolated from mainstream daily eating practices.</w:t>
      </w:r>
    </w:p>
    <w:p w14:paraId="5B70714A" w14:textId="77777777" w:rsidR="00FB019D" w:rsidRDefault="00000000">
      <w:pPr>
        <w:pStyle w:val="Heading3"/>
        <w:spacing w:after="320"/>
      </w:pPr>
      <w:r>
        <w:t>Synthesis: Bridging Elasticity and Governance</w:t>
      </w:r>
    </w:p>
    <w:p w14:paraId="5B70714B" w14:textId="77777777" w:rsidR="00FB019D" w:rsidRDefault="00000000">
      <w:pPr>
        <w:pBdr>
          <w:top w:val="nil"/>
          <w:left w:val="nil"/>
          <w:bottom w:val="nil"/>
          <w:right w:val="nil"/>
          <w:between w:val="nil"/>
        </w:pBdr>
        <w:spacing w:before="0" w:after="320"/>
        <w:ind w:left="0" w:right="0"/>
      </w:pPr>
      <w:r>
        <w:t>To move VietGAP or any regenerative standard past this "slow adoption" plateau, policy cannot simply rely on pushing certification onto farmers or expecting price-sensitive consumers to pay high premiums.</w:t>
      </w:r>
    </w:p>
    <w:p w14:paraId="5B70714C" w14:textId="77777777" w:rsidR="00FB019D" w:rsidRDefault="00000000">
      <w:pPr>
        <w:pBdr>
          <w:top w:val="nil"/>
          <w:left w:val="nil"/>
          <w:bottom w:val="nil"/>
          <w:right w:val="nil"/>
          <w:between w:val="nil"/>
        </w:pBdr>
        <w:spacing w:before="0" w:after="320"/>
        <w:ind w:left="0" w:right="0"/>
      </w:pPr>
      <w:r>
        <w:t>Instead, policy must:</w:t>
      </w:r>
    </w:p>
    <w:p w14:paraId="5B70714D" w14:textId="77777777" w:rsidR="00FB019D" w:rsidRDefault="00000000">
      <w:pPr>
        <w:numPr>
          <w:ilvl w:val="0"/>
          <w:numId w:val="91"/>
        </w:numPr>
        <w:pBdr>
          <w:top w:val="nil"/>
          <w:left w:val="nil"/>
          <w:bottom w:val="nil"/>
          <w:right w:val="nil"/>
          <w:between w:val="nil"/>
        </w:pBdr>
        <w:spacing w:before="0" w:after="0"/>
        <w:ind w:right="0"/>
      </w:pPr>
      <w:r>
        <w:rPr>
          <w:b/>
          <w:bCs/>
        </w:rPr>
        <w:t>Reduce Compliance Costs:</w:t>
      </w:r>
      <w:r>
        <w:t xml:space="preserve"> Channel group certification and low-cost verification through local cooperatives or Participatory Guarantee Systems (PGS).</w:t>
      </w:r>
    </w:p>
    <w:p w14:paraId="5B70714E" w14:textId="77777777" w:rsidR="00FB019D" w:rsidRDefault="00000000">
      <w:pPr>
        <w:numPr>
          <w:ilvl w:val="0"/>
          <w:numId w:val="91"/>
        </w:numPr>
        <w:pBdr>
          <w:top w:val="nil"/>
          <w:left w:val="nil"/>
          <w:bottom w:val="nil"/>
          <w:right w:val="nil"/>
          <w:between w:val="nil"/>
        </w:pBdr>
        <w:spacing w:before="0" w:after="0"/>
        <w:ind w:right="0"/>
      </w:pPr>
      <w:r>
        <w:rPr>
          <w:b/>
          <w:bCs/>
        </w:rPr>
        <w:t>Anchor Demand:</w:t>
      </w:r>
      <w:r>
        <w:t xml:space="preserve"> Utilize public procurement (such as school feeding programs and municipal institutions) to guarantee volume off-take for VietGAP/PGS producers at reasonable price points.</w:t>
      </w:r>
    </w:p>
    <w:p w14:paraId="5B70714F" w14:textId="77777777" w:rsidR="00FB019D" w:rsidRDefault="00000000">
      <w:pPr>
        <w:numPr>
          <w:ilvl w:val="0"/>
          <w:numId w:val="91"/>
        </w:numPr>
        <w:pBdr>
          <w:top w:val="nil"/>
          <w:left w:val="nil"/>
          <w:bottom w:val="nil"/>
          <w:right w:val="nil"/>
          <w:between w:val="nil"/>
        </w:pBdr>
        <w:spacing w:before="0" w:after="0"/>
        <w:ind w:right="0"/>
      </w:pPr>
      <w:r>
        <w:rPr>
          <w:b/>
          <w:bCs/>
        </w:rPr>
        <w:t>Integrate Traditional Retailing:</w:t>
      </w:r>
      <w:r>
        <w:t xml:space="preserve"> Work with traditional wet market vendors to establish verified "safe </w:t>
      </w:r>
      <w:r>
        <w:lastRenderedPageBreak/>
        <w:t>produce" stalls, bringing certified food directly into the daily food environment where average households actually shop.</w:t>
      </w:r>
    </w:p>
    <w:p w14:paraId="5B707150" w14:textId="77777777" w:rsidR="00FB019D" w:rsidRDefault="00000000">
      <w:pPr>
        <w:pBdr>
          <w:top w:val="nil"/>
          <w:left w:val="nil"/>
          <w:bottom w:val="nil"/>
          <w:right w:val="nil"/>
          <w:between w:val="nil"/>
        </w:pBdr>
        <w:spacing w:before="0" w:after="0"/>
        <w:ind w:left="0" w:right="0"/>
      </w:pPr>
      <w:r>
        <w:pict w14:anchorId="5B7072F1">
          <v:rect id="_x0000_i1045" style="width:0;height:1.5pt" o:hralign="center" o:hrstd="t" o:hr="t" fillcolor="#a0a0a0" stroked="f"/>
        </w:pict>
      </w:r>
    </w:p>
    <w:p w14:paraId="5B707151"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Okay we addressed Q14. Q15. Sure, this is also dilemma. Convenience and price are key values that make modern food highly competitive to traditional foods. Also consumer preferences change with urbanisation and Westernisation of diets. Pre-processing can help, but again it is also the issue of cost and labour. Q16. Now we touch the key intervention issue. My key points: (i) Bundling innovations, (ii) Building coordination mechanisms for enabling scaling, (iii) Challenging the convention if acquiring enough power.</w:t>
      </w:r>
    </w:p>
    <w:p w14:paraId="5B707152"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153" w14:textId="77777777" w:rsidR="00FB019D" w:rsidRDefault="00000000">
      <w:pPr>
        <w:numPr>
          <w:ilvl w:val="0"/>
          <w:numId w:val="92"/>
        </w:numPr>
        <w:pBdr>
          <w:top w:val="nil"/>
          <w:left w:val="nil"/>
          <w:bottom w:val="nil"/>
          <w:right w:val="nil"/>
          <w:between w:val="nil"/>
        </w:pBdr>
        <w:spacing w:before="0" w:after="0"/>
        <w:ind w:right="0"/>
      </w:pPr>
      <w:r>
        <w:rPr>
          <w:i/>
          <w:iCs/>
        </w:rPr>
        <w:t>Q15:</w:t>
      </w:r>
      <w:r>
        <w:t xml:space="preserve"> "In rapidly urbanizing ASEAN societies, how can labor-intensive, minimally processed traditional and regenerative nutrient-dense foods compete against ultra-processed, highly convenient, and aggressively marketed industrial foods?"</w:t>
      </w:r>
    </w:p>
    <w:p w14:paraId="5B707154" w14:textId="77777777" w:rsidR="00FB019D" w:rsidRDefault="00000000">
      <w:pPr>
        <w:numPr>
          <w:ilvl w:val="0"/>
          <w:numId w:val="92"/>
        </w:numPr>
        <w:pBdr>
          <w:top w:val="nil"/>
          <w:left w:val="nil"/>
          <w:bottom w:val="nil"/>
          <w:right w:val="nil"/>
          <w:between w:val="nil"/>
        </w:pBdr>
        <w:spacing w:before="0" w:after="0"/>
        <w:ind w:right="0"/>
      </w:pPr>
      <w:r>
        <w:rPr>
          <w:i/>
          <w:iCs/>
        </w:rPr>
        <w:t>Q16:</w:t>
      </w:r>
      <w:r>
        <w:t xml:space="preserve"> "What systemic leverage points offer the highest potential to accelerate the scaling of regenerative agri-food systems in low- and middle-income country contexts?"</w:t>
      </w:r>
    </w:p>
    <w:p w14:paraId="5B707155" w14:textId="77777777" w:rsidR="00FB019D" w:rsidRDefault="00000000">
      <w:pPr>
        <w:pStyle w:val="Heading3"/>
        <w:spacing w:after="320"/>
      </w:pPr>
      <w:r>
        <w:t>Expert Critique &amp; Systems-Thinking Analysis</w:t>
      </w:r>
    </w:p>
    <w:p w14:paraId="5B707156" w14:textId="77777777" w:rsidR="00FB019D" w:rsidRDefault="00000000">
      <w:pPr>
        <w:pBdr>
          <w:top w:val="nil"/>
          <w:left w:val="nil"/>
          <w:bottom w:val="nil"/>
          <w:right w:val="nil"/>
          <w:between w:val="nil"/>
        </w:pBdr>
        <w:spacing w:before="0" w:after="320"/>
        <w:ind w:left="0" w:right="0"/>
      </w:pPr>
      <w:r>
        <w:t xml:space="preserve">Your analysis of </w:t>
      </w:r>
      <w:r>
        <w:rPr>
          <w:b/>
          <w:bCs/>
        </w:rPr>
        <w:t>Q15 and Q16</w:t>
      </w:r>
      <w:r>
        <w:t xml:space="preserve"> cuts directly to the operational heart of food system transformation. Let's synthesize your points through an analytical, systems-thinking lens:</w:t>
      </w:r>
    </w:p>
    <w:p w14:paraId="5B707157" w14:textId="77777777" w:rsidR="00FB019D" w:rsidRDefault="00000000">
      <w:pPr>
        <w:pStyle w:val="Heading3"/>
        <w:spacing w:before="0"/>
      </w:pPr>
      <w:r>
        <w:t>1. Addressing Q15: Urban Convenience, Lifestyle Shifts, and the Labor Dilemma</w:t>
      </w:r>
    </w:p>
    <w:p w14:paraId="5B707158" w14:textId="77777777" w:rsidR="00FB019D" w:rsidRDefault="00000000">
      <w:pPr>
        <w:numPr>
          <w:ilvl w:val="0"/>
          <w:numId w:val="93"/>
        </w:numPr>
        <w:pBdr>
          <w:top w:val="nil"/>
          <w:left w:val="nil"/>
          <w:bottom w:val="nil"/>
          <w:right w:val="nil"/>
          <w:between w:val="nil"/>
        </w:pBdr>
        <w:spacing w:before="0" w:after="0"/>
        <w:ind w:right="0"/>
      </w:pPr>
      <w:r>
        <w:rPr>
          <w:b/>
          <w:bCs/>
        </w:rPr>
        <w:t>The Structural Barrier:</w:t>
      </w:r>
      <w:r>
        <w:t xml:space="preserve"> In rapidly urbanizing and modernizing societies across ASEAN, modern ultra-processed foods dominate not merely because of corporate marketing, but because they optimize for </w:t>
      </w:r>
      <w:r>
        <w:rPr>
          <w:b/>
          <w:bCs/>
        </w:rPr>
        <w:t>time scarcity, extreme convenience, long shelf-life, and low cost</w:t>
      </w:r>
      <w:r>
        <w:t>.</w:t>
      </w:r>
    </w:p>
    <w:p w14:paraId="5B707159" w14:textId="77777777" w:rsidR="00FB019D" w:rsidRDefault="00000000">
      <w:pPr>
        <w:numPr>
          <w:ilvl w:val="0"/>
          <w:numId w:val="93"/>
        </w:numPr>
        <w:pBdr>
          <w:top w:val="nil"/>
          <w:left w:val="nil"/>
          <w:bottom w:val="nil"/>
          <w:right w:val="nil"/>
          <w:between w:val="nil"/>
        </w:pBdr>
        <w:spacing w:before="0" w:after="0"/>
        <w:ind w:right="0"/>
      </w:pPr>
      <w:r>
        <w:rPr>
          <w:b/>
          <w:bCs/>
        </w:rPr>
        <w:t>The Labor &amp; Cost Bottleneck:</w:t>
      </w:r>
      <w:r>
        <w:t xml:space="preserve"> Minimally processed, fresh, nutrient-dense foods (e.g., indigenous vegetables, traditional legumes, organic produce) carry high domestic labor costs (washing, chopping, preparing) and quick perishability. As you noted, while pre-processing (washing, cutting, packaging) addresses consumer convenience in urban centers like Hanoi, it introduces </w:t>
      </w:r>
      <w:r>
        <w:rPr>
          <w:b/>
          <w:bCs/>
        </w:rPr>
        <w:t>added post-harvest costs, labor demands, and plastic waste</w:t>
      </w:r>
      <w:r>
        <w:t>, which drive up retail prices and reinforce the price elasticity gap for low-to-middle-income households.</w:t>
      </w:r>
    </w:p>
    <w:p w14:paraId="5B70715A" w14:textId="77777777" w:rsidR="00FB019D" w:rsidRDefault="00000000">
      <w:pPr>
        <w:numPr>
          <w:ilvl w:val="0"/>
          <w:numId w:val="93"/>
        </w:numPr>
        <w:pBdr>
          <w:top w:val="nil"/>
          <w:left w:val="nil"/>
          <w:bottom w:val="nil"/>
          <w:right w:val="nil"/>
          <w:between w:val="nil"/>
        </w:pBdr>
        <w:spacing w:before="0" w:after="0"/>
        <w:ind w:right="0"/>
      </w:pPr>
      <w:r>
        <w:rPr>
          <w:b/>
          <w:bCs/>
        </w:rPr>
        <w:t>The Systemic Response:</w:t>
      </w:r>
      <w:r>
        <w:t xml:space="preserve"> Competing against ultra-processed foods requires moving beyond individual household preparation to </w:t>
      </w:r>
      <w:r>
        <w:rPr>
          <w:b/>
          <w:bCs/>
        </w:rPr>
        <w:t>community-level or cooperative aggregation and light processing hubs</w:t>
      </w:r>
      <w:r>
        <w:t>. By decentralizing initial cleaning, sorting, and pre-processing to local producer groups or informal vendor networks, food chains can lower unit labor costs, reduce urban household prep time, and maintain fresh food accessibility across both supermarkets and traditional wet markets (</w:t>
      </w:r>
      <w:r>
        <w:rPr>
          <w:i/>
          <w:iCs/>
        </w:rPr>
        <w:t>chợ</w:t>
      </w:r>
      <w:r>
        <w:t>).</w:t>
      </w:r>
    </w:p>
    <w:p w14:paraId="5B70715B" w14:textId="77777777" w:rsidR="00FB019D" w:rsidRDefault="00000000">
      <w:pPr>
        <w:pStyle w:val="Heading3"/>
        <w:spacing w:after="320"/>
      </w:pPr>
      <w:r>
        <w:t>2. Addressing Q16: Key Systemic Leverage Points for Scaling Interventions</w:t>
      </w:r>
    </w:p>
    <w:p w14:paraId="5B70715C" w14:textId="77777777" w:rsidR="00FB019D" w:rsidRDefault="00000000">
      <w:pPr>
        <w:pBdr>
          <w:top w:val="nil"/>
          <w:left w:val="nil"/>
          <w:bottom w:val="nil"/>
          <w:right w:val="nil"/>
          <w:between w:val="nil"/>
        </w:pBdr>
        <w:spacing w:before="0" w:after="320"/>
        <w:ind w:left="0" w:right="0"/>
      </w:pPr>
      <w:r>
        <w:t>Your three core points for Q16—</w:t>
      </w:r>
      <w:r>
        <w:rPr>
          <w:b/>
          <w:bCs/>
        </w:rPr>
        <w:t>(i) Bundling Innovations, (ii) Building Enabling Coordination Mechanisms, and (iii) Challenging Conventional Paradigms via Power Alignment</w:t>
      </w:r>
      <w:r>
        <w:t>—align perfectly with leverage-point theory (e.g., Donella Meadows, Systemic Transition Frameworks) and provide an actionable roadmap for weak-institution contexts:</w:t>
      </w:r>
    </w:p>
    <w:p w14:paraId="5B70715D" w14:textId="77777777" w:rsidR="00FB019D" w:rsidRDefault="00000000">
      <w:pPr>
        <w:pStyle w:val="Heading4"/>
        <w:spacing w:before="0" w:after="320"/>
      </w:pPr>
      <w:r>
        <w:lastRenderedPageBreak/>
        <w:t>(i) Bundling Innovations (Technical + Social + Institutional)</w:t>
      </w:r>
    </w:p>
    <w:p w14:paraId="5B70715E" w14:textId="77777777" w:rsidR="00FB019D" w:rsidRDefault="00000000">
      <w:pPr>
        <w:pBdr>
          <w:top w:val="nil"/>
          <w:left w:val="nil"/>
          <w:bottom w:val="nil"/>
          <w:right w:val="nil"/>
          <w:between w:val="nil"/>
        </w:pBdr>
        <w:spacing w:before="0" w:after="320"/>
        <w:ind w:left="0" w:right="0"/>
      </w:pPr>
      <w:r>
        <w:t xml:space="preserve">Single-point interventions (e.g., introducing a new biological input, deploying a standalone QR code, or offering a isolated financial loan) almost always fail in isolation. Scaling requires </w:t>
      </w:r>
      <w:r>
        <w:rPr>
          <w:b/>
          <w:bCs/>
        </w:rPr>
        <w:t>innovation packages (bundles)</w:t>
      </w:r>
      <w:r>
        <w:t>:</w:t>
      </w:r>
    </w:p>
    <w:p w14:paraId="5B70715F" w14:textId="77777777" w:rsidR="00FB019D" w:rsidRDefault="00000000">
      <w:pPr>
        <w:numPr>
          <w:ilvl w:val="0"/>
          <w:numId w:val="94"/>
        </w:numPr>
        <w:pBdr>
          <w:top w:val="nil"/>
          <w:left w:val="nil"/>
          <w:bottom w:val="nil"/>
          <w:right w:val="nil"/>
          <w:between w:val="nil"/>
        </w:pBdr>
        <w:spacing w:before="0" w:after="0"/>
        <w:ind w:right="0"/>
      </w:pPr>
      <w:r>
        <w:rPr>
          <w:i/>
          <w:iCs/>
        </w:rPr>
        <w:t>Technical Innovation:</w:t>
      </w:r>
      <w:r>
        <w:t xml:space="preserve"> Regenerative agrochemical-reduction practices, bio-inputs, and solar/micro-irrigation.</w:t>
      </w:r>
    </w:p>
    <w:p w14:paraId="5B707160" w14:textId="77777777" w:rsidR="00FB019D" w:rsidRDefault="00000000">
      <w:pPr>
        <w:numPr>
          <w:ilvl w:val="0"/>
          <w:numId w:val="94"/>
        </w:numPr>
        <w:pBdr>
          <w:top w:val="nil"/>
          <w:left w:val="nil"/>
          <w:bottom w:val="nil"/>
          <w:right w:val="nil"/>
          <w:between w:val="nil"/>
        </w:pBdr>
        <w:spacing w:before="0" w:after="0"/>
        <w:ind w:right="0"/>
      </w:pPr>
      <w:r>
        <w:rPr>
          <w:i/>
          <w:iCs/>
        </w:rPr>
        <w:t>Social &amp; Organizational Innovation:</w:t>
      </w:r>
      <w:r>
        <w:t xml:space="preserve"> Group certification via Participatory Guarantee Systems (PGS) and smallholder cooperative aggregation.</w:t>
      </w:r>
    </w:p>
    <w:p w14:paraId="5B707161" w14:textId="77777777" w:rsidR="00FB019D" w:rsidRDefault="00000000">
      <w:pPr>
        <w:numPr>
          <w:ilvl w:val="0"/>
          <w:numId w:val="94"/>
        </w:numPr>
        <w:pBdr>
          <w:top w:val="nil"/>
          <w:left w:val="nil"/>
          <w:bottom w:val="nil"/>
          <w:right w:val="nil"/>
          <w:between w:val="nil"/>
        </w:pBdr>
        <w:spacing w:before="0" w:after="0"/>
        <w:ind w:right="0"/>
      </w:pPr>
      <w:r>
        <w:rPr>
          <w:i/>
          <w:iCs/>
        </w:rPr>
        <w:t>Market &amp; Institutional Innovation:</w:t>
      </w:r>
      <w:r>
        <w:t xml:space="preserve"> Public procurement quotas (e.g., school feeding anchors), off-taker contract safeguards, and simplified trust labeling.</w:t>
      </w:r>
    </w:p>
    <w:p w14:paraId="5B707162" w14:textId="77777777" w:rsidR="00FB019D" w:rsidRDefault="00000000">
      <w:pPr>
        <w:pStyle w:val="Heading4"/>
        <w:spacing w:after="320"/>
      </w:pPr>
      <w:r>
        <w:t>(ii) Building Coordination Mechanisms for Scaling</w:t>
      </w:r>
    </w:p>
    <w:p w14:paraId="5B707163" w14:textId="77777777" w:rsidR="00FB019D" w:rsidRDefault="00000000">
      <w:pPr>
        <w:pBdr>
          <w:top w:val="nil"/>
          <w:left w:val="nil"/>
          <w:bottom w:val="nil"/>
          <w:right w:val="nil"/>
          <w:between w:val="nil"/>
        </w:pBdr>
        <w:spacing w:before="0" w:after="320"/>
        <w:ind w:left="0" w:right="0"/>
      </w:pPr>
      <w:r>
        <w:t>Scaling requires permanent institutional "glue" rather than fragmented, short-term project interventions. Multi-stakeholder coordination platforms (such as the national food systems taskforces, regional bodies like CARD in Cambodia, or ASEAN-CGIAR multi-sectoral frameworks) serve as the operational backbone. These platforms:</w:t>
      </w:r>
    </w:p>
    <w:p w14:paraId="5B707164" w14:textId="77777777" w:rsidR="00FB019D" w:rsidRDefault="00000000">
      <w:pPr>
        <w:numPr>
          <w:ilvl w:val="0"/>
          <w:numId w:val="95"/>
        </w:numPr>
        <w:pBdr>
          <w:top w:val="nil"/>
          <w:left w:val="nil"/>
          <w:bottom w:val="nil"/>
          <w:right w:val="nil"/>
          <w:between w:val="nil"/>
        </w:pBdr>
        <w:spacing w:before="0" w:after="0"/>
        <w:ind w:right="0"/>
      </w:pPr>
      <w:r>
        <w:t>Align contradictory sectoral policies (e.g., coordinating agriculture, health, trade, and environment ministries);</w:t>
      </w:r>
    </w:p>
    <w:p w14:paraId="5B707165" w14:textId="77777777" w:rsidR="00FB019D" w:rsidRDefault="00000000">
      <w:pPr>
        <w:numPr>
          <w:ilvl w:val="0"/>
          <w:numId w:val="95"/>
        </w:numPr>
        <w:pBdr>
          <w:top w:val="nil"/>
          <w:left w:val="nil"/>
          <w:bottom w:val="nil"/>
          <w:right w:val="nil"/>
          <w:between w:val="nil"/>
        </w:pBdr>
        <w:spacing w:before="0" w:after="0"/>
        <w:ind w:right="0"/>
      </w:pPr>
      <w:r>
        <w:t>Streamline cross-level governance (linking provincial implementation plans to national policy and regional market standards);</w:t>
      </w:r>
    </w:p>
    <w:p w14:paraId="5B707166" w14:textId="77777777" w:rsidR="00FB019D" w:rsidRDefault="00000000">
      <w:pPr>
        <w:numPr>
          <w:ilvl w:val="0"/>
          <w:numId w:val="95"/>
        </w:numPr>
        <w:pBdr>
          <w:top w:val="nil"/>
          <w:left w:val="nil"/>
          <w:bottom w:val="nil"/>
          <w:right w:val="nil"/>
          <w:between w:val="nil"/>
        </w:pBdr>
        <w:spacing w:before="0" w:after="0"/>
        <w:ind w:right="0"/>
      </w:pPr>
      <w:r>
        <w:t>Channel blended finance and technical assistance directly to local cooperative networks.</w:t>
      </w:r>
    </w:p>
    <w:p w14:paraId="5B707167" w14:textId="77777777" w:rsidR="00FB019D" w:rsidRDefault="00000000">
      <w:pPr>
        <w:pStyle w:val="Heading4"/>
        <w:spacing w:after="320"/>
      </w:pPr>
      <w:r>
        <w:t>(iii) Challenging the Convention &amp; Power Realignment</w:t>
      </w:r>
    </w:p>
    <w:p w14:paraId="5B707168" w14:textId="77777777" w:rsidR="00FB019D" w:rsidRDefault="00000000">
      <w:pPr>
        <w:pBdr>
          <w:top w:val="nil"/>
          <w:left w:val="nil"/>
          <w:bottom w:val="nil"/>
          <w:right w:val="nil"/>
          <w:between w:val="nil"/>
        </w:pBdr>
        <w:spacing w:before="0" w:after="320"/>
        <w:ind w:left="0" w:right="0"/>
      </w:pPr>
      <w:r>
        <w:t xml:space="preserve">True systemic transition cannot occur solely through soft, voluntary "win-win" narratives; it requires confronting incumbent socio-technical regimes (chemical fertilizer lobbies, large industrial integrators, and perverse input subsidies). Challenging the convention requires </w:t>
      </w:r>
      <w:r>
        <w:rPr>
          <w:b/>
          <w:bCs/>
        </w:rPr>
        <w:t>building counter-power</w:t>
      </w:r>
      <w:r>
        <w:t>:</w:t>
      </w:r>
    </w:p>
    <w:p w14:paraId="5B707169" w14:textId="77777777" w:rsidR="00FB019D" w:rsidRDefault="00000000">
      <w:pPr>
        <w:numPr>
          <w:ilvl w:val="0"/>
          <w:numId w:val="96"/>
        </w:numPr>
        <w:pBdr>
          <w:top w:val="nil"/>
          <w:left w:val="nil"/>
          <w:bottom w:val="nil"/>
          <w:right w:val="nil"/>
          <w:between w:val="nil"/>
        </w:pBdr>
        <w:spacing w:before="0" w:after="0"/>
        <w:ind w:right="0"/>
      </w:pPr>
      <w:r>
        <w:rPr>
          <w:b/>
          <w:bCs/>
        </w:rPr>
        <w:t>Mobilizing Collective Agency:</w:t>
      </w:r>
      <w:r>
        <w:t xml:space="preserve"> Empowering farmer federations, cooperative coalitions, and civil society networks to gain collective bargaining leverage in value chain negotiations.</w:t>
      </w:r>
    </w:p>
    <w:p w14:paraId="5B70716A" w14:textId="77777777" w:rsidR="00FB019D" w:rsidRDefault="00000000">
      <w:pPr>
        <w:numPr>
          <w:ilvl w:val="0"/>
          <w:numId w:val="96"/>
        </w:numPr>
        <w:pBdr>
          <w:top w:val="nil"/>
          <w:left w:val="nil"/>
          <w:bottom w:val="nil"/>
          <w:right w:val="nil"/>
          <w:between w:val="nil"/>
        </w:pBdr>
        <w:spacing w:before="0" w:after="0"/>
        <w:ind w:right="0"/>
      </w:pPr>
      <w:r>
        <w:rPr>
          <w:b/>
          <w:bCs/>
        </w:rPr>
        <w:t>Reallocating Public Capital:</w:t>
      </w:r>
      <w:r>
        <w:t xml:space="preserve"> Utilizing political windows of opportunity (such as national climate commitments or food safety crises) to reallocate state budgets away from perverse chemical subsidies toward public ecological transition funds and smallholder infrastructure.</w:t>
      </w:r>
    </w:p>
    <w:p w14:paraId="5B70716B" w14:textId="77777777" w:rsidR="00FB019D" w:rsidRDefault="00000000">
      <w:pPr>
        <w:numPr>
          <w:ilvl w:val="0"/>
          <w:numId w:val="96"/>
        </w:numPr>
        <w:pBdr>
          <w:top w:val="nil"/>
          <w:left w:val="nil"/>
          <w:bottom w:val="nil"/>
          <w:right w:val="nil"/>
          <w:between w:val="nil"/>
        </w:pBdr>
        <w:spacing w:before="0" w:after="0"/>
        <w:ind w:right="0"/>
      </w:pPr>
      <w:r>
        <w:rPr>
          <w:b/>
          <w:bCs/>
        </w:rPr>
        <w:t>Legitimizing Grassroots Governance:</w:t>
      </w:r>
      <w:r>
        <w:t xml:space="preserve"> Formally embedding community-led verification (PGS) and local food environments into national statutory frameworks, preventing corporate capture and ensuring equitable value distribution.</w:t>
      </w:r>
    </w:p>
    <w:p w14:paraId="5B70716C" w14:textId="77777777" w:rsidR="00FB019D" w:rsidRDefault="00000000">
      <w:pPr>
        <w:pStyle w:val="Heading3"/>
        <w:spacing w:after="320"/>
      </w:pPr>
      <w:r>
        <w:t>Summary of Progress Across Questions 11–16</w:t>
      </w:r>
    </w:p>
    <w:p w14:paraId="5B70716D" w14:textId="77777777" w:rsidR="00FB019D" w:rsidRDefault="00000000">
      <w:pPr>
        <w:pBdr>
          <w:top w:val="nil"/>
          <w:left w:val="nil"/>
          <w:bottom w:val="nil"/>
          <w:right w:val="nil"/>
          <w:between w:val="nil"/>
        </w:pBdr>
        <w:spacing w:before="0" w:after="320"/>
        <w:ind w:left="0" w:right="0"/>
      </w:pPr>
      <w:r>
        <w:t>We have now systematically evaluated:</w:t>
      </w:r>
    </w:p>
    <w:p w14:paraId="5B70716E" w14:textId="77777777" w:rsidR="00FB019D" w:rsidRDefault="00000000">
      <w:pPr>
        <w:numPr>
          <w:ilvl w:val="0"/>
          <w:numId w:val="97"/>
        </w:numPr>
        <w:pBdr>
          <w:top w:val="nil"/>
          <w:left w:val="nil"/>
          <w:bottom w:val="nil"/>
          <w:right w:val="nil"/>
          <w:between w:val="nil"/>
        </w:pBdr>
        <w:spacing w:before="0" w:after="0"/>
        <w:ind w:right="0"/>
      </w:pPr>
      <w:r>
        <w:rPr>
          <w:b/>
          <w:bCs/>
        </w:rPr>
        <w:t>Q11 &amp; Q12:</w:t>
      </w:r>
      <w:r>
        <w:t xml:space="preserve"> Leading with health values ("health halo") while lowering baseline production/cooperative costs to prevent sustainable food from remaining an elite niche.</w:t>
      </w:r>
    </w:p>
    <w:p w14:paraId="5B70716F" w14:textId="77777777" w:rsidR="00FB019D" w:rsidRDefault="00000000">
      <w:pPr>
        <w:numPr>
          <w:ilvl w:val="0"/>
          <w:numId w:val="97"/>
        </w:numPr>
        <w:pBdr>
          <w:top w:val="nil"/>
          <w:left w:val="nil"/>
          <w:bottom w:val="nil"/>
          <w:right w:val="nil"/>
          <w:between w:val="nil"/>
        </w:pBdr>
        <w:spacing w:before="0" w:after="0"/>
        <w:ind w:right="0"/>
      </w:pPr>
      <w:r>
        <w:rPr>
          <w:b/>
          <w:bCs/>
        </w:rPr>
        <w:t>Q13:</w:t>
      </w:r>
      <w:r>
        <w:t xml:space="preserve"> Deploying choice architecture, structural defaults, placement, and physical retail zoning over passive labeling.</w:t>
      </w:r>
    </w:p>
    <w:p w14:paraId="5B707170" w14:textId="77777777" w:rsidR="00FB019D" w:rsidRDefault="00000000">
      <w:pPr>
        <w:numPr>
          <w:ilvl w:val="0"/>
          <w:numId w:val="97"/>
        </w:numPr>
        <w:pBdr>
          <w:top w:val="nil"/>
          <w:left w:val="nil"/>
          <w:bottom w:val="nil"/>
          <w:right w:val="nil"/>
          <w:between w:val="nil"/>
        </w:pBdr>
        <w:spacing w:before="0" w:after="0"/>
        <w:ind w:right="0"/>
      </w:pPr>
      <w:r>
        <w:rPr>
          <w:b/>
          <w:bCs/>
        </w:rPr>
        <w:lastRenderedPageBreak/>
        <w:t>Q14:</w:t>
      </w:r>
      <w:r>
        <w:t xml:space="preserve"> Navigating price elasticity thresholds (~15-20% price differential gap) and extracting lessons from Thailand's organic labeling failures and VietGAP's slow adoption in Vietnam.</w:t>
      </w:r>
    </w:p>
    <w:p w14:paraId="5B707171" w14:textId="77777777" w:rsidR="00FB019D" w:rsidRDefault="00000000">
      <w:pPr>
        <w:numPr>
          <w:ilvl w:val="0"/>
          <w:numId w:val="97"/>
        </w:numPr>
        <w:pBdr>
          <w:top w:val="nil"/>
          <w:left w:val="nil"/>
          <w:bottom w:val="nil"/>
          <w:right w:val="nil"/>
          <w:between w:val="nil"/>
        </w:pBdr>
        <w:spacing w:before="0" w:after="0"/>
        <w:ind w:right="0"/>
      </w:pPr>
      <w:r>
        <w:rPr>
          <w:b/>
          <w:bCs/>
        </w:rPr>
        <w:t>Q15:</w:t>
      </w:r>
      <w:r>
        <w:t xml:space="preserve"> Addressing urban time scarcity and convenience barriers through decentralized pre-processing and cooperative aggregation.</w:t>
      </w:r>
    </w:p>
    <w:p w14:paraId="5B707172" w14:textId="77777777" w:rsidR="00FB019D" w:rsidRDefault="00000000">
      <w:pPr>
        <w:numPr>
          <w:ilvl w:val="0"/>
          <w:numId w:val="97"/>
        </w:numPr>
        <w:pBdr>
          <w:top w:val="nil"/>
          <w:left w:val="nil"/>
          <w:bottom w:val="nil"/>
          <w:right w:val="nil"/>
          <w:between w:val="nil"/>
        </w:pBdr>
        <w:spacing w:before="0" w:after="0"/>
        <w:ind w:right="0"/>
      </w:pPr>
      <w:r>
        <w:rPr>
          <w:b/>
          <w:bCs/>
        </w:rPr>
        <w:t>Q16:</w:t>
      </w:r>
      <w:r>
        <w:t xml:space="preserve"> Executing systemic leverage via innovation bundling, multi-stakeholder coordination mechanisms, and power realignment.</w:t>
      </w:r>
    </w:p>
    <w:p w14:paraId="5B707173" w14:textId="77777777" w:rsidR="00FB019D" w:rsidRDefault="00000000">
      <w:pPr>
        <w:pBdr>
          <w:top w:val="nil"/>
          <w:left w:val="nil"/>
          <w:bottom w:val="nil"/>
          <w:right w:val="nil"/>
          <w:between w:val="nil"/>
        </w:pBdr>
        <w:spacing w:before="320" w:after="320"/>
        <w:ind w:left="0" w:right="0"/>
      </w:pPr>
      <w:r>
        <w:t>Whenever you are ready, we can look at the remaining final set of questions or summarize the overarching policy and implementation synthesis!</w:t>
      </w:r>
    </w:p>
    <w:p w14:paraId="5B707174" w14:textId="77777777" w:rsidR="00FB019D" w:rsidRDefault="00000000">
      <w:pPr>
        <w:pBdr>
          <w:top w:val="nil"/>
          <w:left w:val="nil"/>
          <w:bottom w:val="nil"/>
          <w:right w:val="nil"/>
          <w:between w:val="nil"/>
        </w:pBdr>
        <w:spacing w:before="0" w:after="0"/>
        <w:ind w:left="0" w:right="0"/>
      </w:pPr>
      <w:r>
        <w:pict w14:anchorId="5B7072F2">
          <v:rect id="_x0000_i1046" style="width:0;height:1.5pt" o:hralign="center" o:hrstd="t" o:hr="t" fillcolor="#a0a0a0" stroked="f"/>
        </w:pict>
      </w:r>
    </w:p>
    <w:p w14:paraId="5B707175"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Q16. You can add other recommendations, not necessary to stick to my answers</w:t>
      </w:r>
    </w:p>
    <w:p w14:paraId="5B707176"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w:t>
      </w:r>
    </w:p>
    <w:p w14:paraId="5B707177" w14:textId="77777777" w:rsidR="00FB019D" w:rsidRDefault="00000000">
      <w:pPr>
        <w:numPr>
          <w:ilvl w:val="0"/>
          <w:numId w:val="98"/>
        </w:numPr>
        <w:pBdr>
          <w:top w:val="nil"/>
          <w:left w:val="nil"/>
          <w:bottom w:val="nil"/>
          <w:right w:val="nil"/>
          <w:between w:val="nil"/>
        </w:pBdr>
        <w:spacing w:before="0" w:after="0"/>
        <w:ind w:right="0"/>
      </w:pPr>
      <w:r>
        <w:rPr>
          <w:i/>
          <w:iCs/>
        </w:rPr>
        <w:t>Q16:</w:t>
      </w:r>
      <w:r>
        <w:t xml:space="preserve"> "What systemic leverage points offer the highest potential to accelerate the scaling of regenerative agri-food systems in low- and middle-income country contexts?"</w:t>
      </w:r>
    </w:p>
    <w:p w14:paraId="5B707178" w14:textId="77777777" w:rsidR="00FB019D" w:rsidRDefault="00000000">
      <w:pPr>
        <w:pStyle w:val="Heading3"/>
        <w:spacing w:after="320"/>
      </w:pPr>
      <w:r>
        <w:t>Expanding the Strategic Framework for Q16</w:t>
      </w:r>
    </w:p>
    <w:p w14:paraId="5B707179" w14:textId="77777777" w:rsidR="00FB019D" w:rsidRDefault="00000000">
      <w:pPr>
        <w:pBdr>
          <w:top w:val="nil"/>
          <w:left w:val="nil"/>
          <w:bottom w:val="nil"/>
          <w:right w:val="nil"/>
          <w:between w:val="nil"/>
        </w:pBdr>
        <w:spacing w:before="0" w:after="320"/>
        <w:ind w:left="0" w:right="0"/>
      </w:pPr>
      <w:r>
        <w:t>Your three core pillars—</w:t>
      </w:r>
      <w:r>
        <w:rPr>
          <w:b/>
          <w:bCs/>
        </w:rPr>
        <w:t>(i) Bundling Innovations, (ii) Building Coordination Mechanisms, and (iii) Power Realignment</w:t>
      </w:r>
      <w:r>
        <w:t xml:space="preserve">—already capture the core structural mechanics of system transitions. To build a truly comprehensive, policy-ready framework for scaling regenerative agriculture (RA) in LMICs, we can integrate </w:t>
      </w:r>
      <w:r>
        <w:rPr>
          <w:b/>
          <w:bCs/>
        </w:rPr>
        <w:t>four additional high-leverage intervention points</w:t>
      </w:r>
      <w:r>
        <w:t xml:space="preserve"> drawn from transition dynamics and system leverage literature (e.g., Donella Meadows; Geels' Socio-Technical Transitions):</w:t>
      </w:r>
    </w:p>
    <w:p w14:paraId="5B70717A" w14:textId="77777777" w:rsidR="00FB019D" w:rsidRDefault="00000000">
      <w:pPr>
        <w:pStyle w:val="Heading3"/>
        <w:spacing w:before="0"/>
      </w:pPr>
      <w:r>
        <w:t>Comprehensive Systemic Leverage Points for Scaling RA</w:t>
      </w:r>
    </w:p>
    <w:p w14:paraId="5B70717B" w14:textId="77777777" w:rsidR="00FB019D" w:rsidRDefault="00000000">
      <w:pPr>
        <w:pBdr>
          <w:top w:val="nil"/>
          <w:left w:val="nil"/>
          <w:bottom w:val="nil"/>
          <w:right w:val="nil"/>
          <w:between w:val="nil"/>
        </w:pBdr>
        <w:spacing w:before="0" w:after="255"/>
        <w:ind w:left="0" w:right="0"/>
        <w:rPr>
          <w:rFonts w:ascii="Courier" w:eastAsia="Courier" w:hAnsi="Courier" w:cs="Courier"/>
        </w:rPr>
      </w:pPr>
      <w:r>
        <w:rPr>
          <w:rFonts w:ascii="Courier" w:eastAsia="Courier" w:hAnsi="Courier" w:cs="Courier"/>
        </w:rPr>
        <w:t xml:space="preserve">                     ┌────────────────────────────────────────┐</w:t>
      </w:r>
      <w:r>
        <w:rPr>
          <w:rFonts w:ascii="Courier" w:eastAsia="Courier" w:hAnsi="Courier" w:cs="Courier"/>
        </w:rPr>
        <w:br/>
        <w:t xml:space="preserve">                     │ 1. Bundling Multi-Domain Innovations   │</w:t>
      </w:r>
      <w:r>
        <w:rPr>
          <w:rFonts w:ascii="Courier" w:eastAsia="Courier" w:hAnsi="Courier" w:cs="Courier"/>
        </w:rPr>
        <w:br/>
        <w:t xml:space="preserve">                     │    (Technical + Social + Institutional)│</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t>│                                        │                                        │</w:t>
      </w:r>
      <w:r>
        <w:rPr>
          <w:rFonts w:ascii="Courier" w:eastAsia="Courier" w:hAnsi="Courier" w:cs="Courier"/>
        </w:rPr>
        <w:br/>
        <w:t>▼                                        ▼                                        ▼</w:t>
      </w:r>
      <w:r>
        <w:rPr>
          <w:rFonts w:ascii="Courier" w:eastAsia="Courier" w:hAnsi="Courier" w:cs="Courier"/>
        </w:rPr>
        <w:br/>
        <w:t>┌─────────────────────────┐  ┌─────────────────────────┐  ┌─────────────────────────┐</w:t>
      </w:r>
      <w:r>
        <w:rPr>
          <w:rFonts w:ascii="Courier" w:eastAsia="Courier" w:hAnsi="Courier" w:cs="Courier"/>
        </w:rPr>
        <w:br/>
        <w:t>│ 2. Multi-Stakeholder    │  │ 3. Power Realignment    │  │ 4. Decoupling Soil &amp;    │</w:t>
      </w:r>
      <w:r>
        <w:rPr>
          <w:rFonts w:ascii="Courier" w:eastAsia="Courier" w:hAnsi="Courier" w:cs="Courier"/>
        </w:rPr>
        <w:br/>
        <w:t>│    Coordination Platforms│  │    &amp; Counter-Governance │  │    Transition Risk      │</w:t>
      </w:r>
      <w:r>
        <w:rPr>
          <w:rFonts w:ascii="Courier" w:eastAsia="Courier" w:hAnsi="Courier" w:cs="Courier"/>
        </w:rPr>
        <w:br/>
        <w:t>│    (National &amp; Regional)│  │    (Cooperative Autonomy)│  │    (De-risking Capital) │</w:t>
      </w:r>
      <w:r>
        <w:rPr>
          <w:rFonts w:ascii="Courier" w:eastAsia="Courier" w:hAnsi="Courier" w:cs="Courier"/>
        </w:rPr>
        <w:br/>
        <w:t>└─────────────────────────┘  └─────────────────────────┘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lastRenderedPageBreak/>
        <w:t>───┐</w:t>
      </w:r>
      <w:r>
        <w:rPr>
          <w:rFonts w:ascii="Courier" w:eastAsia="Courier" w:hAnsi="Courier" w:cs="Courier"/>
        </w:rPr>
        <w:br/>
        <w:t>│                                        │                                        │</w:t>
      </w:r>
      <w:r>
        <w:rPr>
          <w:rFonts w:ascii="Courier" w:eastAsia="Courier" w:hAnsi="Courier" w:cs="Courier"/>
        </w:rPr>
        <w:br/>
        <w:t>▼                                        ▼                                        ▼</w:t>
      </w:r>
      <w:r>
        <w:rPr>
          <w:rFonts w:ascii="Courier" w:eastAsia="Courier" w:hAnsi="Courier" w:cs="Courier"/>
        </w:rPr>
        <w:br/>
        <w:t>┌─────────────────────────┐  ┌─────────────────────────┐  ┌─────────────────────────┐</w:t>
      </w:r>
      <w:r>
        <w:rPr>
          <w:rFonts w:ascii="Courier" w:eastAsia="Courier" w:hAnsi="Courier" w:cs="Courier"/>
        </w:rPr>
        <w:br/>
        <w:t>│ 5. Anchor Market        │  │ 6. Territorial &amp; Micro- │  │ 7. Restructuring Policy │</w:t>
      </w:r>
      <w:r>
        <w:rPr>
          <w:rFonts w:ascii="Courier" w:eastAsia="Courier" w:hAnsi="Courier" w:cs="Courier"/>
        </w:rPr>
        <w:br/>
        <w:t>│    Infrastructures      │  │    Food Environment     │  │    Feedback Loops       │</w:t>
      </w:r>
      <w:r>
        <w:rPr>
          <w:rFonts w:ascii="Courier" w:eastAsia="Courier" w:hAnsi="Courier" w:cs="Courier"/>
        </w:rPr>
        <w:br/>
        <w:t>│    (Public Procurement) │  │    Interventions       │  │    (R&amp;D &amp; Metrics)      │</w:t>
      </w:r>
      <w:r>
        <w:rPr>
          <w:rFonts w:ascii="Courier" w:eastAsia="Courier" w:hAnsi="Courier" w:cs="Courier"/>
        </w:rPr>
        <w:br/>
        <w:t>└─────────────────────────┘  └─────────────────────────┘  └─────────────────────────┘</w:t>
      </w:r>
      <w:r>
        <w:rPr>
          <w:rFonts w:ascii="Courier" w:eastAsia="Courier" w:hAnsi="Courier" w:cs="Courier"/>
        </w:rPr>
        <w:br/>
      </w:r>
    </w:p>
    <w:p w14:paraId="5B70717C" w14:textId="77777777" w:rsidR="00FB019D" w:rsidRDefault="00000000">
      <w:pPr>
        <w:pStyle w:val="Heading4"/>
        <w:spacing w:before="0"/>
      </w:pPr>
      <w:r>
        <w:t>1. Decoupling Soil and Transition Risk (De-risking Financial Architectures)</w:t>
      </w:r>
    </w:p>
    <w:p w14:paraId="5B70717D" w14:textId="77777777" w:rsidR="00FB019D" w:rsidRDefault="00000000">
      <w:pPr>
        <w:numPr>
          <w:ilvl w:val="0"/>
          <w:numId w:val="99"/>
        </w:numPr>
        <w:pBdr>
          <w:top w:val="nil"/>
          <w:left w:val="nil"/>
          <w:bottom w:val="nil"/>
          <w:right w:val="nil"/>
          <w:between w:val="nil"/>
        </w:pBdr>
        <w:spacing w:before="0" w:after="0"/>
        <w:ind w:right="0"/>
      </w:pPr>
      <w:r>
        <w:rPr>
          <w:b/>
          <w:bCs/>
        </w:rPr>
        <w:t>The Structural Barrier:</w:t>
      </w:r>
      <w:r>
        <w:t xml:space="preserve"> The multi-year "yield trough" during the biological transition from chemical-heavy to regenerative soil health poses an existential risk to smallholders.</w:t>
      </w:r>
    </w:p>
    <w:p w14:paraId="5B70717E" w14:textId="77777777" w:rsidR="00FB019D" w:rsidRDefault="00000000">
      <w:pPr>
        <w:numPr>
          <w:ilvl w:val="0"/>
          <w:numId w:val="99"/>
        </w:numPr>
        <w:pBdr>
          <w:top w:val="nil"/>
          <w:left w:val="nil"/>
          <w:bottom w:val="nil"/>
          <w:right w:val="nil"/>
          <w:between w:val="nil"/>
        </w:pBdr>
        <w:spacing w:before="0" w:after="0"/>
        <w:ind w:right="0"/>
      </w:pPr>
      <w:r>
        <w:rPr>
          <w:b/>
          <w:bCs/>
        </w:rPr>
        <w:t>The Leverage Point:</w:t>
      </w:r>
      <w:r>
        <w:t xml:space="preserve"> </w:t>
      </w:r>
      <w:r>
        <w:rPr>
          <w:b/>
          <w:bCs/>
        </w:rPr>
        <w:t>De-risking capital at the point of practice change.</w:t>
      </w:r>
      <w:r>
        <w:t xml:space="preserve"> Rather than relying on standard commercial bank loans (which require physical land title collateral), governments and development finance institutions (DFIs) should deploy </w:t>
      </w:r>
      <w:r>
        <w:rPr>
          <w:b/>
          <w:bCs/>
        </w:rPr>
        <w:t>localized guarantee funds, transition vouchers, and multi-peril yield insurance</w:t>
      </w:r>
      <w:r>
        <w:t xml:space="preserve"> funneled directly through certified cooperatives. Tying transition credit to long-term off-take agreements cushions smallholders against short-term economic shocks.</w:t>
      </w:r>
    </w:p>
    <w:p w14:paraId="5B70717F" w14:textId="77777777" w:rsidR="00FB019D" w:rsidRDefault="00000000">
      <w:pPr>
        <w:pStyle w:val="Heading4"/>
      </w:pPr>
      <w:r>
        <w:t>2. Establishing Anchor Market Infrastructure (Public Procurement &amp; Institutional Demand)</w:t>
      </w:r>
    </w:p>
    <w:p w14:paraId="5B707180" w14:textId="77777777" w:rsidR="00FB019D" w:rsidRDefault="00000000">
      <w:pPr>
        <w:numPr>
          <w:ilvl w:val="0"/>
          <w:numId w:val="100"/>
        </w:numPr>
        <w:pBdr>
          <w:top w:val="nil"/>
          <w:left w:val="nil"/>
          <w:bottom w:val="nil"/>
          <w:right w:val="nil"/>
          <w:between w:val="nil"/>
        </w:pBdr>
        <w:spacing w:before="0" w:after="0"/>
        <w:ind w:right="0"/>
      </w:pPr>
      <w:r>
        <w:rPr>
          <w:b/>
          <w:bCs/>
        </w:rPr>
        <w:t>The Structural Barrier:</w:t>
      </w:r>
      <w:r>
        <w:t xml:space="preserve"> Private consumer markets for sustainable produce are often volatile, fragmented, or price-sensitive.</w:t>
      </w:r>
    </w:p>
    <w:p w14:paraId="5B707181" w14:textId="77777777" w:rsidR="00FB019D" w:rsidRDefault="00000000">
      <w:pPr>
        <w:numPr>
          <w:ilvl w:val="0"/>
          <w:numId w:val="100"/>
        </w:numPr>
        <w:pBdr>
          <w:top w:val="nil"/>
          <w:left w:val="nil"/>
          <w:bottom w:val="nil"/>
          <w:right w:val="nil"/>
          <w:between w:val="nil"/>
        </w:pBdr>
        <w:spacing w:before="0" w:after="0"/>
        <w:ind w:right="0"/>
      </w:pPr>
      <w:r>
        <w:rPr>
          <w:b/>
          <w:bCs/>
        </w:rPr>
        <w:t>The Leverage Point:</w:t>
      </w:r>
      <w:r>
        <w:t xml:space="preserve"> </w:t>
      </w:r>
      <w:r>
        <w:rPr>
          <w:b/>
          <w:bCs/>
        </w:rPr>
        <w:t>State-backed institutional demand as a market stabilizer.</w:t>
      </w:r>
      <w:r>
        <w:t xml:space="preserve"> As seen in models like home-grown school feeding or public hospital catering, establishing legally mandated public procurement quotas for local, verified (VietGAP/CamGAP/PGS) cooperative produce creates a predictable, non-speculative market anchor. This de-risks private investment in post-harvest aggregation and storage hubs.</w:t>
      </w:r>
    </w:p>
    <w:p w14:paraId="5B707182" w14:textId="77777777" w:rsidR="00FB019D" w:rsidRDefault="00000000">
      <w:pPr>
        <w:pStyle w:val="Heading4"/>
      </w:pPr>
      <w:r>
        <w:t>3. Territorial &amp; Micro-Food Environment Interventions (Re-embedding Traditional Retailing)</w:t>
      </w:r>
    </w:p>
    <w:p w14:paraId="5B707183" w14:textId="77777777" w:rsidR="00FB019D" w:rsidRDefault="00000000">
      <w:pPr>
        <w:numPr>
          <w:ilvl w:val="0"/>
          <w:numId w:val="101"/>
        </w:numPr>
        <w:pBdr>
          <w:top w:val="nil"/>
          <w:left w:val="nil"/>
          <w:bottom w:val="nil"/>
          <w:right w:val="nil"/>
          <w:between w:val="nil"/>
        </w:pBdr>
        <w:spacing w:before="0" w:after="0"/>
        <w:ind w:right="0"/>
      </w:pPr>
      <w:r>
        <w:rPr>
          <w:b/>
          <w:bCs/>
        </w:rPr>
        <w:t>The Structural Barrier:</w:t>
      </w:r>
      <w:r>
        <w:t xml:space="preserve"> Modern retail modernization strategies frequently push smallholders out while hyper-processing industries dominate urban supermarkets.</w:t>
      </w:r>
    </w:p>
    <w:p w14:paraId="5B707184" w14:textId="77777777" w:rsidR="00FB019D" w:rsidRDefault="00000000">
      <w:pPr>
        <w:numPr>
          <w:ilvl w:val="0"/>
          <w:numId w:val="101"/>
        </w:numPr>
        <w:pBdr>
          <w:top w:val="nil"/>
          <w:left w:val="nil"/>
          <w:bottom w:val="nil"/>
          <w:right w:val="nil"/>
          <w:between w:val="nil"/>
        </w:pBdr>
        <w:spacing w:before="0" w:after="0"/>
        <w:ind w:right="0"/>
      </w:pPr>
      <w:r>
        <w:rPr>
          <w:b/>
          <w:bCs/>
        </w:rPr>
        <w:t>The Leverage Point:</w:t>
      </w:r>
      <w:r>
        <w:t xml:space="preserve"> </w:t>
      </w:r>
      <w:r>
        <w:rPr>
          <w:b/>
          <w:bCs/>
        </w:rPr>
        <w:t>Upgrading traditional wet markets (</w:t>
      </w:r>
      <w:r>
        <w:rPr>
          <w:b/>
          <w:bCs/>
          <w:i/>
          <w:iCs/>
        </w:rPr>
        <w:t>chợ</w:t>
      </w:r>
      <w:r>
        <w:rPr>
          <w:b/>
          <w:bCs/>
        </w:rPr>
        <w:t>) rather than replacing them.</w:t>
      </w:r>
      <w:r>
        <w:t xml:space="preserve"> In LMICs across Southeast Asia, wet markets handle the vast majority of fresh food distribution. Equipping traditional market stalls with clean cold-chain micro-infrastructure, transparent food-safety testing badges, and cooperative direct-sourcing links brings certified safe produce directly into the daily habits of urban populations without incurring high modern-retail markups.</w:t>
      </w:r>
    </w:p>
    <w:p w14:paraId="5B707185" w14:textId="77777777" w:rsidR="00FB019D" w:rsidRDefault="00000000">
      <w:pPr>
        <w:pStyle w:val="Heading4"/>
      </w:pPr>
      <w:r>
        <w:t>4. Restructuring Policy Feedback Loops (R&amp;D &amp; Metrics Shift)</w:t>
      </w:r>
    </w:p>
    <w:p w14:paraId="5B707186" w14:textId="77777777" w:rsidR="00FB019D" w:rsidRDefault="00000000">
      <w:pPr>
        <w:numPr>
          <w:ilvl w:val="0"/>
          <w:numId w:val="102"/>
        </w:numPr>
        <w:pBdr>
          <w:top w:val="nil"/>
          <w:left w:val="nil"/>
          <w:bottom w:val="nil"/>
          <w:right w:val="nil"/>
          <w:between w:val="nil"/>
        </w:pBdr>
        <w:spacing w:before="0" w:after="0"/>
        <w:ind w:right="0"/>
      </w:pPr>
      <w:r>
        <w:rPr>
          <w:b/>
          <w:bCs/>
        </w:rPr>
        <w:t>The Structural Barrier:</w:t>
      </w:r>
      <w:r>
        <w:t xml:space="preserve"> Agricultural research, national extension services, and GDP accounting remain heavily biased toward single-crop yield volume (</w:t>
      </w:r>
      <w:r>
        <w:rPr>
          <w:rFonts w:ascii="Arial" w:eastAsia="Arial" w:hAnsi="Arial" w:cs="Arial"/>
          <w:i/>
          <w:iCs/>
        </w:rPr>
        <w:t>t</w:t>
      </w:r>
      <w:r>
        <w:t>/</w:t>
      </w:r>
      <w:r>
        <w:rPr>
          <w:rFonts w:ascii="Arial" w:eastAsia="Arial" w:hAnsi="Arial" w:cs="Arial"/>
          <w:i/>
          <w:iCs/>
        </w:rPr>
        <w:t>ha</w:t>
      </w:r>
      <w:r>
        <w:t>) rather than multi-crop profitability, soil organic matter, or nutritional density per hectare.</w:t>
      </w:r>
    </w:p>
    <w:p w14:paraId="5B707187" w14:textId="77777777" w:rsidR="00FB019D" w:rsidRDefault="00000000">
      <w:pPr>
        <w:numPr>
          <w:ilvl w:val="0"/>
          <w:numId w:val="102"/>
        </w:numPr>
        <w:pBdr>
          <w:top w:val="nil"/>
          <w:left w:val="nil"/>
          <w:bottom w:val="nil"/>
          <w:right w:val="nil"/>
          <w:between w:val="nil"/>
        </w:pBdr>
        <w:spacing w:before="0" w:after="0"/>
        <w:ind w:right="0"/>
      </w:pPr>
      <w:r>
        <w:rPr>
          <w:b/>
          <w:bCs/>
        </w:rPr>
        <w:lastRenderedPageBreak/>
        <w:t>The Leverage Point:</w:t>
      </w:r>
      <w:r>
        <w:t xml:space="preserve"> </w:t>
      </w:r>
      <w:r>
        <w:rPr>
          <w:b/>
          <w:bCs/>
        </w:rPr>
        <w:t>Shifting national agricultural performance indicators (KPIs).</w:t>
      </w:r>
      <w:r>
        <w:t xml:space="preserve"> Reorienting public research institutes (like VAAS or CARDI) and subnational extension budgets toward agroecological indicators (soil carbon restoration, bio-input efficiency, farm household income stability) forces the state bureaucracy to measure success by systemic resilience rather than raw chemical-input volume.</w:t>
      </w:r>
    </w:p>
    <w:p w14:paraId="5B707188" w14:textId="77777777" w:rsidR="00FB019D" w:rsidRDefault="00000000">
      <w:pPr>
        <w:pStyle w:val="Heading3"/>
      </w:pPr>
      <w:r>
        <w:t>Summary of Systemic Leverage Strategy</w:t>
      </w:r>
    </w:p>
    <w:p w14:paraId="5B707189" w14:textId="77777777" w:rsidR="00FB019D" w:rsidRDefault="00FB019D">
      <w:pPr>
        <w:pBdr>
          <w:top w:val="nil"/>
          <w:left w:val="nil"/>
          <w:bottom w:val="nil"/>
          <w:right w:val="nil"/>
          <w:between w:val="nil"/>
        </w:pBdr>
        <w:spacing w:before="0" w:after="320"/>
        <w:ind w:left="0" w:right="0"/>
        <w:rPr>
          <w:b/>
          <w:bCs/>
          <w:sz w:val="28"/>
          <w:szCs w:val="28"/>
        </w:rPr>
      </w:pPr>
    </w:p>
    <w:tbl>
      <w:tblPr>
        <w:tblStyle w:val="a"/>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3120"/>
        <w:gridCol w:w="3120"/>
        <w:gridCol w:w="3120"/>
      </w:tblGrid>
      <w:tr w:rsidR="00FB019D" w14:paraId="5B70718D" w14:textId="77777777">
        <w:trPr>
          <w:tblHeader/>
        </w:trPr>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18A" w14:textId="77777777" w:rsidR="00FB019D" w:rsidRDefault="00000000">
            <w:pPr>
              <w:pBdr>
                <w:top w:val="nil"/>
                <w:left w:val="nil"/>
                <w:bottom w:val="nil"/>
                <w:right w:val="nil"/>
                <w:between w:val="nil"/>
              </w:pBdr>
              <w:spacing w:before="180" w:after="180"/>
              <w:ind w:left="0" w:right="0"/>
              <w:rPr>
                <w:b/>
                <w:bCs/>
              </w:rPr>
            </w:pPr>
            <w:r>
              <w:rPr>
                <w:b/>
                <w:bCs/>
              </w:rPr>
              <w:t>Leverage Level</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18B" w14:textId="77777777" w:rsidR="00FB019D" w:rsidRDefault="00000000">
            <w:pPr>
              <w:pBdr>
                <w:top w:val="nil"/>
                <w:left w:val="nil"/>
                <w:bottom w:val="nil"/>
                <w:right w:val="nil"/>
                <w:between w:val="nil"/>
              </w:pBdr>
              <w:spacing w:before="180" w:after="180"/>
              <w:ind w:left="0" w:right="0"/>
              <w:rPr>
                <w:b/>
                <w:bCs/>
              </w:rPr>
            </w:pPr>
            <w:r>
              <w:rPr>
                <w:b/>
                <w:bCs/>
              </w:rPr>
              <w:t>Specific Mechanism</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18C" w14:textId="77777777" w:rsidR="00FB019D" w:rsidRDefault="00000000">
            <w:pPr>
              <w:pBdr>
                <w:top w:val="nil"/>
                <w:left w:val="nil"/>
                <w:bottom w:val="nil"/>
                <w:right w:val="nil"/>
                <w:between w:val="nil"/>
              </w:pBdr>
              <w:spacing w:before="180" w:after="180"/>
              <w:ind w:left="0" w:right="0"/>
              <w:rPr>
                <w:b/>
                <w:bCs/>
              </w:rPr>
            </w:pPr>
            <w:r>
              <w:rPr>
                <w:b/>
                <w:bCs/>
              </w:rPr>
              <w:t>Key Actors Involved</w:t>
            </w:r>
          </w:p>
        </w:tc>
      </w:tr>
      <w:tr w:rsidR="00FB019D" w14:paraId="5B707191"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8E" w14:textId="77777777" w:rsidR="00FB019D" w:rsidRDefault="00000000">
            <w:pPr>
              <w:pBdr>
                <w:top w:val="nil"/>
                <w:left w:val="nil"/>
                <w:bottom w:val="nil"/>
                <w:right w:val="nil"/>
                <w:between w:val="nil"/>
              </w:pBdr>
              <w:spacing w:before="120" w:after="120"/>
              <w:ind w:left="0" w:right="0"/>
              <w:rPr>
                <w:b/>
                <w:bCs/>
              </w:rPr>
            </w:pPr>
            <w:r>
              <w:rPr>
                <w:b/>
                <w:bCs/>
              </w:rPr>
              <w:t>Systemic Core</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8F" w14:textId="77777777" w:rsidR="00FB019D" w:rsidRDefault="00000000">
            <w:pPr>
              <w:pBdr>
                <w:top w:val="nil"/>
                <w:left w:val="nil"/>
                <w:bottom w:val="nil"/>
                <w:right w:val="nil"/>
                <w:between w:val="nil"/>
              </w:pBdr>
              <w:spacing w:before="120" w:after="120"/>
              <w:ind w:left="0" w:right="0"/>
            </w:pPr>
            <w:r>
              <w:rPr>
                <w:b/>
                <w:bCs/>
              </w:rPr>
              <w:t>Innovation Bundling:</w:t>
            </w:r>
            <w:r>
              <w:t xml:space="preserve"> Combining bio-inputs + PGS/Cooperative aggregation + Guaranteed off-take.</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0" w14:textId="77777777" w:rsidR="00FB019D" w:rsidRDefault="00000000">
            <w:pPr>
              <w:pBdr>
                <w:top w:val="nil"/>
                <w:left w:val="nil"/>
                <w:bottom w:val="nil"/>
                <w:right w:val="nil"/>
                <w:between w:val="nil"/>
              </w:pBdr>
              <w:spacing w:before="120" w:after="120"/>
              <w:ind w:left="0" w:right="0"/>
            </w:pPr>
            <w:r>
              <w:t>Extension agents, Cooperatives, Local SMEs</w:t>
            </w:r>
          </w:p>
        </w:tc>
      </w:tr>
      <w:tr w:rsidR="00FB019D" w14:paraId="5B707195"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2" w14:textId="77777777" w:rsidR="00FB019D" w:rsidRDefault="00000000">
            <w:pPr>
              <w:pBdr>
                <w:top w:val="nil"/>
                <w:left w:val="nil"/>
                <w:bottom w:val="nil"/>
                <w:right w:val="nil"/>
                <w:between w:val="nil"/>
              </w:pBdr>
              <w:spacing w:before="120" w:after="120"/>
              <w:ind w:left="0" w:right="0"/>
              <w:rPr>
                <w:b/>
                <w:bCs/>
              </w:rPr>
            </w:pPr>
            <w:r>
              <w:rPr>
                <w:b/>
                <w:bCs/>
              </w:rPr>
              <w:t>Institutional Glue</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3" w14:textId="77777777" w:rsidR="00FB019D" w:rsidRDefault="00000000">
            <w:pPr>
              <w:pBdr>
                <w:top w:val="nil"/>
                <w:left w:val="nil"/>
                <w:bottom w:val="nil"/>
                <w:right w:val="nil"/>
                <w:between w:val="nil"/>
              </w:pBdr>
              <w:spacing w:before="120" w:after="120"/>
              <w:ind w:left="0" w:right="0"/>
            </w:pPr>
            <w:r>
              <w:rPr>
                <w:b/>
                <w:bCs/>
              </w:rPr>
              <w:t>Coordination Mechanisms:</w:t>
            </w:r>
            <w:r>
              <w:t xml:space="preserve"> Multi-sectoral taskforces (CARD, MAE) aligning policy goals across silos.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4" w14:textId="77777777" w:rsidR="00FB019D" w:rsidRDefault="00000000">
            <w:pPr>
              <w:pBdr>
                <w:top w:val="nil"/>
                <w:left w:val="nil"/>
                <w:bottom w:val="nil"/>
                <w:right w:val="nil"/>
                <w:between w:val="nil"/>
              </w:pBdr>
              <w:spacing w:before="120" w:after="120"/>
              <w:ind w:left="0" w:right="0"/>
            </w:pPr>
            <w:r>
              <w:t>National Ministries, Regional Blocs (ASEAN)</w:t>
            </w:r>
          </w:p>
        </w:tc>
      </w:tr>
      <w:tr w:rsidR="00FB019D" w14:paraId="5B707199"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6" w14:textId="77777777" w:rsidR="00FB019D" w:rsidRDefault="00000000">
            <w:pPr>
              <w:pBdr>
                <w:top w:val="nil"/>
                <w:left w:val="nil"/>
                <w:bottom w:val="nil"/>
                <w:right w:val="nil"/>
                <w:between w:val="nil"/>
              </w:pBdr>
              <w:spacing w:before="120" w:after="120"/>
              <w:ind w:left="0" w:right="0"/>
              <w:rPr>
                <w:b/>
                <w:bCs/>
              </w:rPr>
            </w:pPr>
            <w:r>
              <w:rPr>
                <w:b/>
                <w:bCs/>
              </w:rPr>
              <w:t>Political Economy</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7" w14:textId="77777777" w:rsidR="00FB019D" w:rsidRDefault="00000000">
            <w:pPr>
              <w:pBdr>
                <w:top w:val="nil"/>
                <w:left w:val="nil"/>
                <w:bottom w:val="nil"/>
                <w:right w:val="nil"/>
                <w:between w:val="nil"/>
              </w:pBdr>
              <w:spacing w:before="120" w:after="120"/>
              <w:ind w:left="0" w:right="0"/>
            </w:pPr>
            <w:r>
              <w:rPr>
                <w:b/>
                <w:bCs/>
              </w:rPr>
              <w:t>Power Realignment:</w:t>
            </w:r>
            <w:r>
              <w:t xml:space="preserve"> Strengthening cooperative legal autonomy &amp; shifting perverse subsidies.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8" w14:textId="77777777" w:rsidR="00FB019D" w:rsidRDefault="00000000">
            <w:pPr>
              <w:pBdr>
                <w:top w:val="nil"/>
                <w:left w:val="nil"/>
                <w:bottom w:val="nil"/>
                <w:right w:val="nil"/>
                <w:between w:val="nil"/>
              </w:pBdr>
              <w:spacing w:before="120" w:after="120"/>
              <w:ind w:left="0" w:right="0"/>
            </w:pPr>
            <w:r>
              <w:t>Farmer Federations, Civil Society, Policy Makers</w:t>
            </w:r>
          </w:p>
        </w:tc>
      </w:tr>
      <w:tr w:rsidR="00FB019D" w14:paraId="5B70719D"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A" w14:textId="77777777" w:rsidR="00FB019D" w:rsidRDefault="00000000">
            <w:pPr>
              <w:pBdr>
                <w:top w:val="nil"/>
                <w:left w:val="nil"/>
                <w:bottom w:val="nil"/>
                <w:right w:val="nil"/>
                <w:between w:val="nil"/>
              </w:pBdr>
              <w:spacing w:before="120" w:after="120"/>
              <w:ind w:left="0" w:right="0"/>
              <w:rPr>
                <w:b/>
                <w:bCs/>
              </w:rPr>
            </w:pPr>
            <w:r>
              <w:rPr>
                <w:b/>
                <w:bCs/>
              </w:rPr>
              <w:t>Economic Cushion</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B" w14:textId="77777777" w:rsidR="00FB019D" w:rsidRDefault="00000000">
            <w:pPr>
              <w:pBdr>
                <w:top w:val="nil"/>
                <w:left w:val="nil"/>
                <w:bottom w:val="nil"/>
                <w:right w:val="nil"/>
                <w:between w:val="nil"/>
              </w:pBdr>
              <w:spacing w:before="120" w:after="120"/>
              <w:ind w:left="0" w:right="0"/>
            </w:pPr>
            <w:r>
              <w:rPr>
                <w:b/>
                <w:bCs/>
              </w:rPr>
              <w:t>Transition De-risking:</w:t>
            </w:r>
            <w:r>
              <w:t xml:space="preserve"> Localized guarantee funds, transition vouchers, and contract safeguards.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C" w14:textId="77777777" w:rsidR="00FB019D" w:rsidRDefault="00000000">
            <w:pPr>
              <w:pBdr>
                <w:top w:val="nil"/>
                <w:left w:val="nil"/>
                <w:bottom w:val="nil"/>
                <w:right w:val="nil"/>
                <w:between w:val="nil"/>
              </w:pBdr>
              <w:spacing w:before="120" w:after="120"/>
              <w:ind w:left="0" w:right="0"/>
            </w:pPr>
            <w:r>
              <w:t>DFIs, Agricultural Banks, Impact Investors</w:t>
            </w:r>
          </w:p>
        </w:tc>
      </w:tr>
      <w:tr w:rsidR="00FB019D" w14:paraId="5B7071A1"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E" w14:textId="77777777" w:rsidR="00FB019D" w:rsidRDefault="00000000">
            <w:pPr>
              <w:pBdr>
                <w:top w:val="nil"/>
                <w:left w:val="nil"/>
                <w:bottom w:val="nil"/>
                <w:right w:val="nil"/>
                <w:between w:val="nil"/>
              </w:pBdr>
              <w:spacing w:before="120" w:after="120"/>
              <w:ind w:left="0" w:right="0"/>
              <w:rPr>
                <w:b/>
                <w:bCs/>
              </w:rPr>
            </w:pPr>
            <w:r>
              <w:rPr>
                <w:b/>
                <w:bCs/>
              </w:rPr>
              <w:t>Market Anchor</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9F" w14:textId="77777777" w:rsidR="00FB019D" w:rsidRDefault="00000000">
            <w:pPr>
              <w:pBdr>
                <w:top w:val="nil"/>
                <w:left w:val="nil"/>
                <w:bottom w:val="nil"/>
                <w:right w:val="nil"/>
                <w:between w:val="nil"/>
              </w:pBdr>
              <w:spacing w:before="120" w:after="120"/>
              <w:ind w:left="0" w:right="0"/>
            </w:pPr>
            <w:r>
              <w:rPr>
                <w:b/>
                <w:bCs/>
              </w:rPr>
              <w:t>Institutional Demand:</w:t>
            </w:r>
            <w:r>
              <w:t xml:space="preserve"> Public procurement quotas for schools, hospitals, and municipal catering.</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0" w14:textId="77777777" w:rsidR="00FB019D" w:rsidRDefault="00000000">
            <w:pPr>
              <w:pBdr>
                <w:top w:val="nil"/>
                <w:left w:val="nil"/>
                <w:bottom w:val="nil"/>
                <w:right w:val="nil"/>
                <w:between w:val="nil"/>
              </w:pBdr>
              <w:spacing w:before="120" w:after="120"/>
              <w:ind w:left="0" w:right="0"/>
            </w:pPr>
            <w:r>
              <w:t>Education/Health Ministries, Municipal Govts</w:t>
            </w:r>
          </w:p>
        </w:tc>
      </w:tr>
      <w:tr w:rsidR="00FB019D" w14:paraId="5B7071A5"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2" w14:textId="77777777" w:rsidR="00FB019D" w:rsidRDefault="00000000">
            <w:pPr>
              <w:pBdr>
                <w:top w:val="nil"/>
                <w:left w:val="nil"/>
                <w:bottom w:val="nil"/>
                <w:right w:val="nil"/>
                <w:between w:val="nil"/>
              </w:pBdr>
              <w:spacing w:before="120" w:after="120"/>
              <w:ind w:left="0" w:right="0"/>
              <w:rPr>
                <w:b/>
                <w:bCs/>
              </w:rPr>
            </w:pPr>
            <w:r>
              <w:rPr>
                <w:b/>
                <w:bCs/>
              </w:rPr>
              <w:t>Spatial Environment</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3" w14:textId="77777777" w:rsidR="00FB019D" w:rsidRDefault="00000000">
            <w:pPr>
              <w:pBdr>
                <w:top w:val="nil"/>
                <w:left w:val="nil"/>
                <w:bottom w:val="nil"/>
                <w:right w:val="nil"/>
                <w:between w:val="nil"/>
              </w:pBdr>
              <w:spacing w:before="120" w:after="120"/>
              <w:ind w:left="0" w:right="0"/>
            </w:pPr>
            <w:r>
              <w:rPr>
                <w:b/>
                <w:bCs/>
              </w:rPr>
              <w:t>Territorial Upgrading:</w:t>
            </w:r>
            <w:r>
              <w:t xml:space="preserve"> Upgrading wet-market infrastructure &amp; informal vendor networks.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4" w14:textId="77777777" w:rsidR="00FB019D" w:rsidRDefault="00000000">
            <w:pPr>
              <w:pBdr>
                <w:top w:val="nil"/>
                <w:left w:val="nil"/>
                <w:bottom w:val="nil"/>
                <w:right w:val="nil"/>
                <w:between w:val="nil"/>
              </w:pBdr>
              <w:spacing w:before="120" w:after="120"/>
              <w:ind w:left="0" w:right="0"/>
            </w:pPr>
            <w:r>
              <w:t>Urban Planning Authorities, Vendor Guilds</w:t>
            </w:r>
          </w:p>
        </w:tc>
      </w:tr>
      <w:tr w:rsidR="00FB019D" w14:paraId="5B7071A9"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6" w14:textId="77777777" w:rsidR="00FB019D" w:rsidRDefault="00000000">
            <w:pPr>
              <w:pBdr>
                <w:top w:val="nil"/>
                <w:left w:val="nil"/>
                <w:bottom w:val="nil"/>
                <w:right w:val="nil"/>
                <w:between w:val="nil"/>
              </w:pBdr>
              <w:spacing w:before="120" w:after="120"/>
              <w:ind w:left="0" w:right="0"/>
              <w:rPr>
                <w:b/>
                <w:bCs/>
              </w:rPr>
            </w:pPr>
            <w:r>
              <w:rPr>
                <w:b/>
                <w:bCs/>
              </w:rPr>
              <w:lastRenderedPageBreak/>
              <w:t>Information Loop</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7" w14:textId="77777777" w:rsidR="00FB019D" w:rsidRDefault="00000000">
            <w:pPr>
              <w:pBdr>
                <w:top w:val="nil"/>
                <w:left w:val="nil"/>
                <w:bottom w:val="nil"/>
                <w:right w:val="nil"/>
                <w:between w:val="nil"/>
              </w:pBdr>
              <w:spacing w:before="120" w:after="120"/>
              <w:ind w:left="0" w:right="0"/>
            </w:pPr>
            <w:r>
              <w:rPr>
                <w:b/>
                <w:bCs/>
              </w:rPr>
              <w:t>Redefining Success:</w:t>
            </w:r>
            <w:r>
              <w:t xml:space="preserve"> Shifting R&amp;D metrics from yield volume (</w:t>
            </w:r>
            <w:r>
              <w:rPr>
                <w:rFonts w:ascii="Arial" w:eastAsia="Arial" w:hAnsi="Arial" w:cs="Arial"/>
                <w:i/>
                <w:iCs/>
              </w:rPr>
              <w:t>t</w:t>
            </w:r>
            <w:r>
              <w:t>/</w:t>
            </w:r>
            <w:r>
              <w:rPr>
                <w:rFonts w:ascii="Arial" w:eastAsia="Arial" w:hAnsi="Arial" w:cs="Arial"/>
                <w:i/>
                <w:iCs/>
              </w:rPr>
              <w:t>ha</w:t>
            </w:r>
            <w:r>
              <w:t>) to farm resilience &amp; nutrition.</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1A8" w14:textId="77777777" w:rsidR="00FB019D" w:rsidRDefault="00000000">
            <w:pPr>
              <w:pBdr>
                <w:top w:val="nil"/>
                <w:left w:val="nil"/>
                <w:bottom w:val="nil"/>
                <w:right w:val="nil"/>
                <w:between w:val="nil"/>
              </w:pBdr>
              <w:spacing w:before="120" w:after="120"/>
              <w:ind w:left="0" w:right="0"/>
            </w:pPr>
            <w:r>
              <w:t>National Academies, Public Extension Networks</w:t>
            </w:r>
          </w:p>
        </w:tc>
      </w:tr>
    </w:tbl>
    <w:p w14:paraId="5B7071AA" w14:textId="77777777" w:rsidR="00FB019D" w:rsidRDefault="00000000">
      <w:pPr>
        <w:pBdr>
          <w:top w:val="nil"/>
          <w:left w:val="nil"/>
          <w:bottom w:val="nil"/>
          <w:right w:val="nil"/>
          <w:between w:val="nil"/>
        </w:pBdr>
        <w:spacing w:before="0" w:after="320"/>
        <w:ind w:left="0" w:right="0"/>
      </w:pPr>
      <w:r>
        <w:t>Would you like to refine any of these leverage points, or are you ready to synthesize our entire Q1–Q16 discussion into a unified policy and research agenda?</w:t>
      </w:r>
    </w:p>
    <w:p w14:paraId="5B7071AB" w14:textId="77777777" w:rsidR="00FB019D" w:rsidRDefault="00000000">
      <w:pPr>
        <w:pBdr>
          <w:top w:val="nil"/>
          <w:left w:val="nil"/>
          <w:bottom w:val="nil"/>
          <w:right w:val="nil"/>
          <w:between w:val="nil"/>
        </w:pBdr>
        <w:spacing w:before="0" w:after="0"/>
        <w:ind w:left="0" w:right="0"/>
      </w:pPr>
      <w:r>
        <w:pict w14:anchorId="5B7072F3">
          <v:rect id="_x0000_i1047" style="width:0;height:1.5pt" o:hralign="center" o:hrstd="t" o:hr="t" fillcolor="#a0a0a0" stroked="f"/>
        </w:pict>
      </w:r>
    </w:p>
    <w:p w14:paraId="5B7071AC"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Please summarize our answers of Q8-Q16 then</w:t>
      </w:r>
    </w:p>
    <w:p w14:paraId="5B7071AD" w14:textId="77777777" w:rsidR="00FB019D" w:rsidRDefault="00000000">
      <w:pPr>
        <w:pBdr>
          <w:top w:val="nil"/>
          <w:left w:val="nil"/>
          <w:bottom w:val="nil"/>
          <w:right w:val="nil"/>
          <w:between w:val="nil"/>
        </w:pBdr>
        <w:spacing w:before="0" w:after="320"/>
        <w:ind w:left="0" w:right="0"/>
      </w:pPr>
      <w:r>
        <w:t xml:space="preserve">Response: Here is the comprehensive synthesis and summary of our expert critiques, systems-thinking analysis, and evidence-based solutions for </w:t>
      </w:r>
      <w:r>
        <w:rPr>
          <w:b/>
          <w:bCs/>
        </w:rPr>
        <w:t>Questions 8 through 16</w:t>
      </w:r>
      <w:r>
        <w:t>:</w:t>
      </w:r>
    </w:p>
    <w:p w14:paraId="5B7071AE" w14:textId="77777777" w:rsidR="00FB019D" w:rsidRDefault="00000000">
      <w:pPr>
        <w:pStyle w:val="Heading3"/>
        <w:spacing w:before="0" w:after="255"/>
      </w:pPr>
      <w:r>
        <w:t>Summary of Analysis &amp; Governance Framework (Q8–Q16)</w:t>
      </w:r>
    </w:p>
    <w:p w14:paraId="5B7071AF" w14:textId="77777777" w:rsidR="00FB019D" w:rsidRDefault="00000000">
      <w:pPr>
        <w:pStyle w:val="Heading4"/>
        <w:spacing w:before="0"/>
      </w:pPr>
      <w:r>
        <w:t>Q8: Credence Attributes &amp; Lightweight Verification Infrastructure</w:t>
      </w:r>
    </w:p>
    <w:p w14:paraId="5B7071B0" w14:textId="77777777" w:rsidR="00FB019D" w:rsidRDefault="00000000">
      <w:pPr>
        <w:numPr>
          <w:ilvl w:val="0"/>
          <w:numId w:val="104"/>
        </w:numPr>
        <w:pBdr>
          <w:top w:val="nil"/>
          <w:left w:val="nil"/>
          <w:bottom w:val="nil"/>
          <w:right w:val="nil"/>
          <w:between w:val="nil"/>
        </w:pBdr>
        <w:spacing w:before="0" w:after="0"/>
        <w:ind w:right="0"/>
      </w:pPr>
      <w:r>
        <w:rPr>
          <w:b/>
          <w:bCs/>
        </w:rPr>
        <w:t>The Core Issue:</w:t>
      </w:r>
      <w:r>
        <w:t xml:space="preserve"> Sustainability and food safety function as credence attributes—consumers cannot visually or taste-verify them, creating information asymmetry (the "lemons" problem). High-tech solutions (e.g., complex blockchain systems) often introduce prohibitive compliance and digital literacy barriers for smallholders.</w:t>
      </w:r>
    </w:p>
    <w:p w14:paraId="5B7071B1" w14:textId="77777777" w:rsidR="00FB019D" w:rsidRDefault="00000000">
      <w:pPr>
        <w:numPr>
          <w:ilvl w:val="0"/>
          <w:numId w:val="104"/>
        </w:numPr>
        <w:pBdr>
          <w:top w:val="nil"/>
          <w:left w:val="nil"/>
          <w:bottom w:val="nil"/>
          <w:right w:val="nil"/>
          <w:between w:val="nil"/>
        </w:pBdr>
        <w:spacing w:before="0" w:after="0"/>
        <w:ind w:right="0"/>
      </w:pPr>
      <w:r>
        <w:rPr>
          <w:b/>
          <w:bCs/>
        </w:rPr>
        <w:t>The Solution:</w:t>
      </w:r>
      <w:r>
        <w:t xml:space="preserve"> Deploy </w:t>
      </w:r>
      <w:r>
        <w:rPr>
          <w:b/>
          <w:bCs/>
        </w:rPr>
        <w:t>lightweight, two-way trust infrastructure</w:t>
      </w:r>
      <w:r>
        <w:t>—such as legally institutionalized Participatory Guarantee Systems (PGS) and simple cooperative-led QR systems—that build market confidence through social accountability, peer verification, and direct producer-consumer feedback loops.</w:t>
      </w:r>
    </w:p>
    <w:p w14:paraId="5B7071B2" w14:textId="77777777" w:rsidR="00FB019D" w:rsidRDefault="00000000">
      <w:pPr>
        <w:pStyle w:val="Heading4"/>
      </w:pPr>
      <w:r>
        <w:t>Q9: Single-Commodity Certification vs. Diversified Farming Systems</w:t>
      </w:r>
    </w:p>
    <w:p w14:paraId="5B7071B3" w14:textId="77777777" w:rsidR="00FB019D" w:rsidRDefault="00000000">
      <w:pPr>
        <w:numPr>
          <w:ilvl w:val="0"/>
          <w:numId w:val="105"/>
        </w:numPr>
        <w:pBdr>
          <w:top w:val="nil"/>
          <w:left w:val="nil"/>
          <w:bottom w:val="nil"/>
          <w:right w:val="nil"/>
          <w:between w:val="nil"/>
        </w:pBdr>
        <w:spacing w:before="0" w:after="0"/>
        <w:ind w:right="0"/>
      </w:pPr>
      <w:r>
        <w:rPr>
          <w:b/>
          <w:bCs/>
        </w:rPr>
        <w:t>The Core Issue:</w:t>
      </w:r>
      <w:r>
        <w:t xml:space="preserve"> Single-commodity certification schemes (e.g., export-focused coffee or cashew certification) fail to secure smallholder livelihoods because households remain exposed to global price volatility, climate shocks, and monoculture crop failures.</w:t>
      </w:r>
    </w:p>
    <w:p w14:paraId="5B7071B4" w14:textId="77777777" w:rsidR="00FB019D" w:rsidRDefault="00000000">
      <w:pPr>
        <w:numPr>
          <w:ilvl w:val="0"/>
          <w:numId w:val="105"/>
        </w:numPr>
        <w:pBdr>
          <w:top w:val="nil"/>
          <w:left w:val="nil"/>
          <w:bottom w:val="nil"/>
          <w:right w:val="nil"/>
          <w:between w:val="nil"/>
        </w:pBdr>
        <w:spacing w:before="0" w:after="0"/>
        <w:ind w:right="0"/>
      </w:pPr>
      <w:r>
        <w:rPr>
          <w:b/>
          <w:bCs/>
        </w:rPr>
        <w:t>The Solution:</w:t>
      </w:r>
      <w:r>
        <w:t xml:space="preserve"> Prioritize </w:t>
      </w:r>
      <w:r>
        <w:rPr>
          <w:b/>
          <w:bCs/>
        </w:rPr>
        <w:t>diversified farming portfolios and localized processing networks</w:t>
      </w:r>
      <w:r>
        <w:t xml:space="preserve"> (e.g., integrated rice-fish-vegetable-livestock systems). Diversification acts as an ecological and financial buffer, smoothing income across seasons, protecting soil micro-biomes, and directly improving household nutritional security.</w:t>
      </w:r>
    </w:p>
    <w:p w14:paraId="5B7071B5" w14:textId="77777777" w:rsidR="00FB019D" w:rsidRDefault="00000000">
      <w:pPr>
        <w:pStyle w:val="Heading4"/>
      </w:pPr>
      <w:r>
        <w:t>Q10: Resolving the PGS Dilemma for Domestic vs. Export Markets</w:t>
      </w:r>
    </w:p>
    <w:p w14:paraId="5B7071B6" w14:textId="77777777" w:rsidR="00FB019D" w:rsidRDefault="00000000">
      <w:pPr>
        <w:numPr>
          <w:ilvl w:val="0"/>
          <w:numId w:val="106"/>
        </w:numPr>
        <w:pBdr>
          <w:top w:val="nil"/>
          <w:left w:val="nil"/>
          <w:bottom w:val="nil"/>
          <w:right w:val="nil"/>
          <w:between w:val="nil"/>
        </w:pBdr>
        <w:spacing w:before="0" w:after="0"/>
        <w:ind w:right="0"/>
      </w:pPr>
      <w:r>
        <w:rPr>
          <w:b/>
          <w:bCs/>
        </w:rPr>
        <w:t>The Core Issue:</w:t>
      </w:r>
      <w:r>
        <w:t xml:space="preserve"> While PGS is a cost-effective, empowering verification model for domestic markets, it lacks international recognition as an export "gold standard," forcing smallholders toward expensive third-party audits.</w:t>
      </w:r>
    </w:p>
    <w:p w14:paraId="5B7071B7" w14:textId="77777777" w:rsidR="00FB019D" w:rsidRDefault="00000000">
      <w:pPr>
        <w:numPr>
          <w:ilvl w:val="0"/>
          <w:numId w:val="106"/>
        </w:numPr>
        <w:pBdr>
          <w:top w:val="nil"/>
          <w:left w:val="nil"/>
          <w:bottom w:val="nil"/>
          <w:right w:val="nil"/>
          <w:between w:val="nil"/>
        </w:pBdr>
        <w:spacing w:before="0" w:after="0"/>
        <w:ind w:right="0"/>
      </w:pPr>
      <w:r>
        <w:rPr>
          <w:b/>
          <w:bCs/>
        </w:rPr>
        <w:t>The Solution:</w:t>
      </w:r>
      <w:r>
        <w:t xml:space="preserve"> Adopt a </w:t>
      </w:r>
      <w:r>
        <w:rPr>
          <w:b/>
          <w:bCs/>
        </w:rPr>
        <w:t>nested / dual-track verification model</w:t>
      </w:r>
      <w:r>
        <w:t xml:space="preserve">. Smallholder cooperatives leverage PGS to build local/territorial markets and supply public procurement channels, while utilizing group-certification frameworks and data-bridging mechanisms (aligning PGS with </w:t>
      </w:r>
      <w:r>
        <w:lastRenderedPageBreak/>
        <w:t>CamGAP/VietGAP/ASEAN GAP) only when aggregating volume for international export markets.</w:t>
      </w:r>
    </w:p>
    <w:p w14:paraId="5B7071B8" w14:textId="77777777" w:rsidR="00FB019D" w:rsidRDefault="00000000">
      <w:pPr>
        <w:pStyle w:val="Heading4"/>
      </w:pPr>
      <w:r>
        <w:t>Q11: Leveraging the "Health Halo" in Behavioral Interventions</w:t>
      </w:r>
    </w:p>
    <w:p w14:paraId="5B7071B9" w14:textId="77777777" w:rsidR="00FB019D" w:rsidRDefault="00000000">
      <w:pPr>
        <w:numPr>
          <w:ilvl w:val="0"/>
          <w:numId w:val="107"/>
        </w:numPr>
        <w:pBdr>
          <w:top w:val="nil"/>
          <w:left w:val="nil"/>
          <w:bottom w:val="nil"/>
          <w:right w:val="nil"/>
          <w:between w:val="nil"/>
        </w:pBdr>
        <w:spacing w:before="0" w:after="0"/>
        <w:ind w:right="0"/>
      </w:pPr>
      <w:r>
        <w:rPr>
          <w:b/>
          <w:bCs/>
        </w:rPr>
        <w:t>The Core Issue:</w:t>
      </w:r>
      <w:r>
        <w:t xml:space="preserve"> Consumers rarely act out of abstract environmental altruism; personal well-being and health protection are far stronger psychological drivers.</w:t>
      </w:r>
    </w:p>
    <w:p w14:paraId="5B7071BA" w14:textId="77777777" w:rsidR="00FB019D" w:rsidRDefault="00000000">
      <w:pPr>
        <w:numPr>
          <w:ilvl w:val="0"/>
          <w:numId w:val="107"/>
        </w:numPr>
        <w:pBdr>
          <w:top w:val="nil"/>
          <w:left w:val="nil"/>
          <w:bottom w:val="nil"/>
          <w:right w:val="nil"/>
          <w:between w:val="nil"/>
        </w:pBdr>
        <w:spacing w:before="0" w:after="0"/>
        <w:ind w:right="0"/>
      </w:pPr>
      <w:r>
        <w:rPr>
          <w:b/>
          <w:bCs/>
        </w:rPr>
        <w:t>The Solution:</w:t>
      </w:r>
      <w:r>
        <w:t xml:space="preserve"> Utilize a </w:t>
      </w:r>
      <w:r>
        <w:rPr>
          <w:b/>
          <w:bCs/>
        </w:rPr>
        <w:t>complementary messaging hierarchy</w:t>
      </w:r>
      <w:r>
        <w:t>. Lead behavioral and marketing interventions with immediate consumer priorities—</w:t>
      </w:r>
      <w:r>
        <w:rPr>
          <w:i/>
          <w:iCs/>
        </w:rPr>
        <w:t>food safety, zero chemical residues, and personal nutrition</w:t>
      </w:r>
      <w:r>
        <w:t xml:space="preserve"> (the "health halo")—while weaving environmental stewardship and ecological stewardship in as reinforcing, secondary values.</w:t>
      </w:r>
    </w:p>
    <w:p w14:paraId="5B7071BB" w14:textId="77777777" w:rsidR="00FB019D" w:rsidRDefault="00000000">
      <w:pPr>
        <w:pStyle w:val="Heading4"/>
      </w:pPr>
      <w:r>
        <w:t>Q12: Overcoming the "Elite Niche" Trap &amp; Lowering Baseline Costs</w:t>
      </w:r>
    </w:p>
    <w:p w14:paraId="5B7071BC" w14:textId="77777777" w:rsidR="00FB019D" w:rsidRDefault="00000000">
      <w:pPr>
        <w:numPr>
          <w:ilvl w:val="0"/>
          <w:numId w:val="108"/>
        </w:numPr>
        <w:pBdr>
          <w:top w:val="nil"/>
          <w:left w:val="nil"/>
          <w:bottom w:val="nil"/>
          <w:right w:val="nil"/>
          <w:between w:val="nil"/>
        </w:pBdr>
        <w:spacing w:before="0" w:after="0"/>
        <w:ind w:right="0"/>
      </w:pPr>
      <w:r>
        <w:rPr>
          <w:b/>
          <w:bCs/>
        </w:rPr>
        <w:t>The Core Issue:</w:t>
      </w:r>
      <w:r>
        <w:t xml:space="preserve"> Relying exclusively on high price premiums restricts organic and sustainable foods to wealthy urban elite markets, leaving lower-income households consuming cheap, chemically intensive food.</w:t>
      </w:r>
    </w:p>
    <w:p w14:paraId="5B7071BD" w14:textId="77777777" w:rsidR="00FB019D" w:rsidRDefault="00000000">
      <w:pPr>
        <w:numPr>
          <w:ilvl w:val="0"/>
          <w:numId w:val="108"/>
        </w:numPr>
        <w:pBdr>
          <w:top w:val="nil"/>
          <w:left w:val="nil"/>
          <w:bottom w:val="nil"/>
          <w:right w:val="nil"/>
          <w:between w:val="nil"/>
        </w:pBdr>
        <w:spacing w:before="0" w:after="0"/>
        <w:ind w:right="0"/>
      </w:pPr>
      <w:r>
        <w:rPr>
          <w:b/>
          <w:bCs/>
        </w:rPr>
        <w:t>The Solution:</w:t>
      </w:r>
      <w:r>
        <w:t xml:space="preserve"> Shift focus from purely chasing price premiums to </w:t>
      </w:r>
      <w:r>
        <w:rPr>
          <w:b/>
          <w:bCs/>
        </w:rPr>
        <w:t>lowering production, aggregation, and transaction costs</w:t>
      </w:r>
      <w:r>
        <w:t xml:space="preserve"> (scaling </w:t>
      </w:r>
      <w:r>
        <w:rPr>
          <w:i/>
          <w:iCs/>
        </w:rPr>
        <w:t>out</w:t>
      </w:r>
      <w:r>
        <w:t xml:space="preserve"> and </w:t>
      </w:r>
      <w:r>
        <w:rPr>
          <w:i/>
          <w:iCs/>
        </w:rPr>
        <w:t>deep</w:t>
      </w:r>
      <w:r>
        <w:t>). Mainstream sustainable practices into conventional supply chains by subsidizing bio-inputs, optimizing cooperative logistics, and reducing post-harvest losses to lower the baseline retail price.</w:t>
      </w:r>
    </w:p>
    <w:p w14:paraId="5B7071BE" w14:textId="77777777" w:rsidR="00FB019D" w:rsidRDefault="00000000">
      <w:pPr>
        <w:pStyle w:val="Heading4"/>
      </w:pPr>
      <w:r>
        <w:t>Q13: Choice Architecture, Retail Environments, and Nudges</w:t>
      </w:r>
    </w:p>
    <w:p w14:paraId="5B7071BF" w14:textId="77777777" w:rsidR="00FB019D" w:rsidRDefault="00000000">
      <w:pPr>
        <w:numPr>
          <w:ilvl w:val="0"/>
          <w:numId w:val="109"/>
        </w:numPr>
        <w:pBdr>
          <w:top w:val="nil"/>
          <w:left w:val="nil"/>
          <w:bottom w:val="nil"/>
          <w:right w:val="nil"/>
          <w:between w:val="nil"/>
        </w:pBdr>
        <w:spacing w:before="0" w:after="0"/>
        <w:ind w:right="0"/>
      </w:pPr>
      <w:r>
        <w:rPr>
          <w:b/>
          <w:bCs/>
        </w:rPr>
        <w:t>The Core Issue:</w:t>
      </w:r>
      <w:r>
        <w:t xml:space="preserve"> Passive eco-labels and consumer awareness campaigns suffer from cognitive overload and the attitude-behavior gap.</w:t>
      </w:r>
    </w:p>
    <w:p w14:paraId="5B7071C0" w14:textId="77777777" w:rsidR="00FB019D" w:rsidRDefault="00000000">
      <w:pPr>
        <w:numPr>
          <w:ilvl w:val="0"/>
          <w:numId w:val="109"/>
        </w:numPr>
        <w:pBdr>
          <w:top w:val="nil"/>
          <w:left w:val="nil"/>
          <w:bottom w:val="nil"/>
          <w:right w:val="nil"/>
          <w:between w:val="nil"/>
        </w:pBdr>
        <w:spacing w:before="0" w:after="0"/>
        <w:ind w:right="0"/>
      </w:pPr>
      <w:r>
        <w:rPr>
          <w:b/>
          <w:bCs/>
        </w:rPr>
        <w:t>The Solution:</w:t>
      </w:r>
      <w:r>
        <w:t xml:space="preserve"> Restructure the physical and digital food environment using </w:t>
      </w:r>
      <w:r>
        <w:rPr>
          <w:b/>
          <w:bCs/>
        </w:rPr>
        <w:t>choice architecture</w:t>
      </w:r>
      <w:r>
        <w:t>:</w:t>
      </w:r>
    </w:p>
    <w:p w14:paraId="5B7071C1" w14:textId="77777777" w:rsidR="00FB019D" w:rsidRDefault="00000000">
      <w:pPr>
        <w:numPr>
          <w:ilvl w:val="1"/>
          <w:numId w:val="110"/>
        </w:numPr>
        <w:pBdr>
          <w:top w:val="nil"/>
          <w:left w:val="nil"/>
          <w:bottom w:val="nil"/>
          <w:right w:val="nil"/>
          <w:between w:val="nil"/>
        </w:pBdr>
        <w:spacing w:before="0" w:after="0"/>
        <w:ind w:right="0"/>
      </w:pPr>
      <w:r>
        <w:rPr>
          <w:i/>
          <w:iCs/>
        </w:rPr>
        <w:t>Defaults:</w:t>
      </w:r>
      <w:r>
        <w:t xml:space="preserve"> Setting sustainable or locally sourced meals as standard options in institutional settings;</w:t>
      </w:r>
    </w:p>
    <w:p w14:paraId="5B7071C2" w14:textId="77777777" w:rsidR="00FB019D" w:rsidRDefault="00000000">
      <w:pPr>
        <w:numPr>
          <w:ilvl w:val="1"/>
          <w:numId w:val="110"/>
        </w:numPr>
        <w:pBdr>
          <w:top w:val="nil"/>
          <w:left w:val="nil"/>
          <w:bottom w:val="nil"/>
          <w:right w:val="nil"/>
          <w:between w:val="nil"/>
        </w:pBdr>
        <w:spacing w:before="0" w:after="0"/>
        <w:ind w:right="0"/>
      </w:pPr>
      <w:r>
        <w:rPr>
          <w:i/>
          <w:iCs/>
        </w:rPr>
        <w:t>Placement &amp; Zoning:</w:t>
      </w:r>
      <w:r>
        <w:t xml:space="preserve"> Placing safe/cooperative produce at eye-level or checkout counters and creating dedicated, high-visibility "safe food" sections in retail markets;</w:t>
      </w:r>
    </w:p>
    <w:p w14:paraId="5B7071C3" w14:textId="77777777" w:rsidR="00FB019D" w:rsidRDefault="00000000">
      <w:pPr>
        <w:numPr>
          <w:ilvl w:val="1"/>
          <w:numId w:val="110"/>
        </w:numPr>
        <w:pBdr>
          <w:top w:val="nil"/>
          <w:left w:val="nil"/>
          <w:bottom w:val="nil"/>
          <w:right w:val="nil"/>
          <w:between w:val="nil"/>
        </w:pBdr>
        <w:spacing w:before="0" w:after="0"/>
        <w:ind w:right="0"/>
      </w:pPr>
      <w:r>
        <w:rPr>
          <w:i/>
          <w:iCs/>
        </w:rPr>
        <w:t>Menu Positioning:</w:t>
      </w:r>
      <w:r>
        <w:t xml:space="preserve"> Placing low-carbon and safe options at the top of digital delivery app menus.</w:t>
      </w:r>
    </w:p>
    <w:p w14:paraId="5B7071C4" w14:textId="77777777" w:rsidR="00FB019D" w:rsidRDefault="00000000">
      <w:pPr>
        <w:pStyle w:val="Heading4"/>
      </w:pPr>
      <w:r>
        <w:t>Q14: Price Elasticity Thresholds &amp; Lessons from Thailand and Vietnam</w:t>
      </w:r>
    </w:p>
    <w:p w14:paraId="5B7071C5" w14:textId="77777777" w:rsidR="00FB019D" w:rsidRDefault="00000000">
      <w:pPr>
        <w:numPr>
          <w:ilvl w:val="0"/>
          <w:numId w:val="111"/>
        </w:numPr>
        <w:pBdr>
          <w:top w:val="nil"/>
          <w:left w:val="nil"/>
          <w:bottom w:val="nil"/>
          <w:right w:val="nil"/>
          <w:between w:val="nil"/>
        </w:pBdr>
        <w:spacing w:before="0" w:after="0"/>
        <w:ind w:right="0"/>
      </w:pPr>
      <w:r>
        <w:rPr>
          <w:b/>
          <w:bCs/>
        </w:rPr>
        <w:t>The Core Issue:</w:t>
      </w:r>
      <w:r>
        <w:t xml:space="preserve"> Sustainable foods exhibit high price elasticity (∣PED∣&gt;1). When the price differential exceeds </w:t>
      </w:r>
      <w:r>
        <w:rPr>
          <w:b/>
          <w:bCs/>
        </w:rPr>
        <w:t>15%–20% above conventional baselines</w:t>
      </w:r>
      <w:r>
        <w:t>, demand drops precipitously for low- and middle-income strata.</w:t>
      </w:r>
    </w:p>
    <w:p w14:paraId="5B7071C6" w14:textId="77777777" w:rsidR="00FB019D" w:rsidRDefault="00000000">
      <w:pPr>
        <w:numPr>
          <w:ilvl w:val="0"/>
          <w:numId w:val="111"/>
        </w:numPr>
        <w:pBdr>
          <w:top w:val="nil"/>
          <w:left w:val="nil"/>
          <w:bottom w:val="nil"/>
          <w:right w:val="nil"/>
          <w:between w:val="nil"/>
        </w:pBdr>
        <w:spacing w:before="0" w:after="0"/>
        <w:ind w:right="0"/>
      </w:pPr>
      <w:r>
        <w:rPr>
          <w:b/>
          <w:bCs/>
        </w:rPr>
        <w:t>Systemic Failures &amp; Slow Adoption:</w:t>
      </w:r>
    </w:p>
    <w:p w14:paraId="5B7071C7" w14:textId="77777777" w:rsidR="00FB019D" w:rsidRDefault="00000000">
      <w:pPr>
        <w:numPr>
          <w:ilvl w:val="1"/>
          <w:numId w:val="112"/>
        </w:numPr>
        <w:pBdr>
          <w:top w:val="nil"/>
          <w:left w:val="nil"/>
          <w:bottom w:val="nil"/>
          <w:right w:val="nil"/>
          <w:between w:val="nil"/>
        </w:pBdr>
        <w:spacing w:before="0" w:after="0"/>
        <w:ind w:right="0"/>
      </w:pPr>
      <w:r>
        <w:rPr>
          <w:i/>
          <w:iCs/>
        </w:rPr>
        <w:t>Thailand's Organic Failure:</w:t>
      </w:r>
      <w:r>
        <w:t xml:space="preserve"> Driven by top-down government mandates without local bio-input infrastructure, mismatched export audit requirements, and a clutter of overlapping unverified seals that triggered consumer skepticism ("lemons" collapse).</w:t>
      </w:r>
    </w:p>
    <w:p w14:paraId="5B7071C8" w14:textId="77777777" w:rsidR="00FB019D" w:rsidRDefault="00000000">
      <w:pPr>
        <w:numPr>
          <w:ilvl w:val="1"/>
          <w:numId w:val="112"/>
        </w:numPr>
        <w:pBdr>
          <w:top w:val="nil"/>
          <w:left w:val="nil"/>
          <w:bottom w:val="nil"/>
          <w:right w:val="nil"/>
          <w:between w:val="nil"/>
        </w:pBdr>
        <w:spacing w:before="0" w:after="0"/>
        <w:ind w:right="0"/>
      </w:pPr>
      <w:r>
        <w:rPr>
          <w:i/>
          <w:iCs/>
        </w:rPr>
        <w:t>VietGAP's Slow Progress in Vietnam:</w:t>
      </w:r>
      <w:r>
        <w:t xml:space="preserve"> High compliance costs for individual micro-plots, a lack of farm-gate price premiums when produce is mixed by traders, and the resilience of traditional wet markets (</w:t>
      </w:r>
      <w:r>
        <w:rPr>
          <w:i/>
          <w:iCs/>
        </w:rPr>
        <w:t>chợ</w:t>
      </w:r>
      <w:r>
        <w:t>) where informal trust (</w:t>
      </w:r>
      <w:r>
        <w:rPr>
          <w:i/>
          <w:iCs/>
        </w:rPr>
        <w:t>thuận mua vừa bán</w:t>
      </w:r>
      <w:r>
        <w:t>) and convenience dominate daily purchases.</w:t>
      </w:r>
    </w:p>
    <w:p w14:paraId="5B7071C9" w14:textId="77777777" w:rsidR="00FB019D" w:rsidRDefault="00000000">
      <w:pPr>
        <w:pStyle w:val="Heading4"/>
      </w:pPr>
      <w:r>
        <w:t>Q15: Competing Against Ultra-Processed Foods in Urbanizing Contexts</w:t>
      </w:r>
    </w:p>
    <w:p w14:paraId="5B7071CA" w14:textId="77777777" w:rsidR="00FB019D" w:rsidRDefault="00000000">
      <w:pPr>
        <w:numPr>
          <w:ilvl w:val="0"/>
          <w:numId w:val="113"/>
        </w:numPr>
        <w:pBdr>
          <w:top w:val="nil"/>
          <w:left w:val="nil"/>
          <w:bottom w:val="nil"/>
          <w:right w:val="nil"/>
          <w:between w:val="nil"/>
        </w:pBdr>
        <w:spacing w:before="0" w:after="0"/>
        <w:ind w:right="0"/>
      </w:pPr>
      <w:r>
        <w:rPr>
          <w:b/>
          <w:bCs/>
        </w:rPr>
        <w:t>The Core Issue:</w:t>
      </w:r>
      <w:r>
        <w:t xml:space="preserve"> Ultra-processed foods dominate urban ASEAN markets because they optimize for extreme time convenience, long shelf-life, and low cost. Fresh, minimally processed sustainable </w:t>
      </w:r>
      <w:r>
        <w:lastRenderedPageBreak/>
        <w:t>foods carry high domestic labor and prep-time costs.</w:t>
      </w:r>
    </w:p>
    <w:p w14:paraId="5B7071CB" w14:textId="77777777" w:rsidR="00FB019D" w:rsidRDefault="00000000">
      <w:pPr>
        <w:numPr>
          <w:ilvl w:val="0"/>
          <w:numId w:val="113"/>
        </w:numPr>
        <w:pBdr>
          <w:top w:val="nil"/>
          <w:left w:val="nil"/>
          <w:bottom w:val="nil"/>
          <w:right w:val="nil"/>
          <w:between w:val="nil"/>
        </w:pBdr>
        <w:spacing w:before="0" w:after="0"/>
        <w:ind w:right="0"/>
      </w:pPr>
      <w:r>
        <w:rPr>
          <w:b/>
          <w:bCs/>
        </w:rPr>
        <w:t>The Solution:</w:t>
      </w:r>
      <w:r>
        <w:t xml:space="preserve"> Shift pre-processing labor away from individual urban kitchens to </w:t>
      </w:r>
      <w:r>
        <w:rPr>
          <w:b/>
          <w:bCs/>
        </w:rPr>
        <w:t>community-level or cooperative light-processing hubs</w:t>
      </w:r>
      <w:r>
        <w:t>. Decentralized cleaning, sorting, and chopping at the cooperative level lowers unit labor costs, reduces urban household prep time, and keeps fresh, safe food accessible across both modern supermarkets and traditional wet markets.</w:t>
      </w:r>
    </w:p>
    <w:p w14:paraId="5B7071CC" w14:textId="77777777" w:rsidR="00FB019D" w:rsidRDefault="00000000">
      <w:pPr>
        <w:pStyle w:val="Heading4"/>
        <w:spacing w:after="320"/>
      </w:pPr>
      <w:r>
        <w:t>Q16: Comprehensive Leverage Framework for Scaling Regenerative Agriculture</w:t>
      </w:r>
    </w:p>
    <w:p w14:paraId="5B7071CD" w14:textId="77777777" w:rsidR="00FB019D" w:rsidRDefault="00000000">
      <w:pPr>
        <w:pBdr>
          <w:top w:val="nil"/>
          <w:left w:val="nil"/>
          <w:bottom w:val="nil"/>
          <w:right w:val="nil"/>
          <w:between w:val="nil"/>
        </w:pBdr>
        <w:spacing w:before="0" w:after="320"/>
        <w:ind w:left="0" w:right="0"/>
      </w:pPr>
      <w:r>
        <w:t>To achieve systemic transformation in LMICs, interventions must move beyond single-point solutions to execute a multi-level leverage strategy:</w:t>
      </w:r>
    </w:p>
    <w:p w14:paraId="5B7071CE" w14:textId="77777777" w:rsidR="00FB019D"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                                  ┌──────────────────────────────────────────────────┐</w:t>
      </w:r>
      <w:r>
        <w:rPr>
          <w:rFonts w:ascii="Courier" w:eastAsia="Courier" w:hAnsi="Courier" w:cs="Courier"/>
        </w:rPr>
        <w:br/>
        <w:t xml:space="preserve">                                  │ 1. Innovation Bundling                           │</w:t>
      </w:r>
      <w:r>
        <w:rPr>
          <w:rFonts w:ascii="Courier" w:eastAsia="Courier" w:hAnsi="Courier" w:cs="Courier"/>
        </w:rPr>
        <w:br/>
        <w:t xml:space="preserve">                                  │    (Technical + Social + Institutional)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                                                  │</w:t>
      </w:r>
      <w:r>
        <w:rPr>
          <w:rFonts w:ascii="Courier" w:eastAsia="Courier" w:hAnsi="Courier" w:cs="Courier"/>
        </w:rPr>
        <w:br/>
        <w:t xml:space="preserve">         ▼                                                  ▼                                                  ▼</w:t>
      </w:r>
      <w:r>
        <w:rPr>
          <w:rFonts w:ascii="Courier" w:eastAsia="Courier" w:hAnsi="Courier" w:cs="Courier"/>
        </w:rPr>
        <w:br/>
        <w:t>┌─────────────────────────────────┐        ┌─────────────────────────────────┐        ┌─────────────────────────────────┐</w:t>
      </w:r>
      <w:r>
        <w:rPr>
          <w:rFonts w:ascii="Courier" w:eastAsia="Courier" w:hAnsi="Courier" w:cs="Courier"/>
        </w:rPr>
        <w:br/>
        <w:t>│ 2. De-risking Transition Risk   │        │ 3. Multi-Stakeholder Platforms  │        │ 4. Institutional Demand Anchors │</w:t>
      </w:r>
      <w:r>
        <w:rPr>
          <w:rFonts w:ascii="Courier" w:eastAsia="Courier" w:hAnsi="Courier" w:cs="Courier"/>
        </w:rPr>
        <w:br/>
        <w:t>│    (Cooperative Guarantee Funds)│        │    (CARD, MAE &amp; ASEAN Blocs)   │        │    (Public School Procurement) │</w:t>
      </w:r>
      <w:r>
        <w:rPr>
          <w:rFonts w:ascii="Courier" w:eastAsia="Courier" w:hAnsi="Courier" w:cs="Courier"/>
        </w:rPr>
        <w:br/>
        <w:t>└─────────────────────────────────┘        └─────────────────────────────────┘        └─────────────────────────────────┘</w:t>
      </w:r>
      <w:r>
        <w:rPr>
          <w:rFonts w:ascii="Courier" w:eastAsia="Courier" w:hAnsi="Courier" w:cs="Courier"/>
        </w:rPr>
        <w:br/>
        <w:t xml:space="preserve">         │                                                  │                                                  │</w:t>
      </w:r>
      <w:r>
        <w:rPr>
          <w:rFonts w:ascii="Courier" w:eastAsia="Courier" w:hAnsi="Courier" w:cs="Courier"/>
        </w:rPr>
        <w:br/>
        <w:t xml:space="preserve">         ┌──────────────────────────────────────────────────┼──────────────────────────────────────────────────┐</w:t>
      </w:r>
      <w:r>
        <w:rPr>
          <w:rFonts w:ascii="Courier" w:eastAsia="Courier" w:hAnsi="Courier" w:cs="Courier"/>
        </w:rPr>
        <w:br/>
        <w:t xml:space="preserve">         │                                                  │                                                  │</w:t>
      </w:r>
      <w:r>
        <w:rPr>
          <w:rFonts w:ascii="Courier" w:eastAsia="Courier" w:hAnsi="Courier" w:cs="Courier"/>
        </w:rPr>
        <w:br/>
        <w:t xml:space="preserve">         ▼                                                  ▼                                                  ▼</w:t>
      </w:r>
      <w:r>
        <w:rPr>
          <w:rFonts w:ascii="Courier" w:eastAsia="Courier" w:hAnsi="Courier" w:cs="Courier"/>
        </w:rPr>
        <w:br/>
        <w:t>┌─────────────────────────────────┐        ┌─────────────────────────────────┐        ┌─────────────────────────────────┐</w:t>
      </w:r>
      <w:r>
        <w:rPr>
          <w:rFonts w:ascii="Courier" w:eastAsia="Courier" w:hAnsi="Courier" w:cs="Courier"/>
        </w:rPr>
        <w:br/>
        <w:t>│ 5. Upgrading Traditional Markets│        │ 6. Power Realignment &amp; Governance│        │ 7. Restructuring Policy KPIs    │</w:t>
      </w:r>
      <w:r>
        <w:rPr>
          <w:rFonts w:ascii="Courier" w:eastAsia="Courier" w:hAnsi="Courier" w:cs="Courier"/>
        </w:rPr>
        <w:br/>
        <w:t>│    (Re-embedding Wet-Market Stalls)│     │    (Protecting Cooperative Autonomy)│    │    (Yield Vol → System Resilience)│</w:t>
      </w:r>
      <w:r>
        <w:rPr>
          <w:rFonts w:ascii="Courier" w:eastAsia="Courier" w:hAnsi="Courier" w:cs="Courier"/>
        </w:rPr>
        <w:br/>
        <w:t>└─────────────────────────────────┘        └─────────────────────────────────┘        └─────────────────────────────────┘</w:t>
      </w:r>
      <w:r>
        <w:rPr>
          <w:rFonts w:ascii="Courier" w:eastAsia="Courier" w:hAnsi="Courier" w:cs="Courier"/>
        </w:rPr>
        <w:br/>
      </w:r>
    </w:p>
    <w:p w14:paraId="5B7071CF" w14:textId="77777777" w:rsidR="00FB019D" w:rsidRDefault="00000000">
      <w:pPr>
        <w:numPr>
          <w:ilvl w:val="0"/>
          <w:numId w:val="114"/>
        </w:numPr>
        <w:pBdr>
          <w:top w:val="nil"/>
          <w:left w:val="nil"/>
          <w:bottom w:val="nil"/>
          <w:right w:val="nil"/>
          <w:between w:val="nil"/>
        </w:pBdr>
        <w:spacing w:before="0" w:after="0"/>
        <w:ind w:right="0"/>
      </w:pPr>
      <w:r>
        <w:rPr>
          <w:b/>
          <w:bCs/>
        </w:rPr>
        <w:t>Innovation Bundling:</w:t>
      </w:r>
      <w:r>
        <w:t xml:space="preserve"> Packaging biological inputs, digital tools, PGS group certification, and contract </w:t>
      </w:r>
      <w:r>
        <w:lastRenderedPageBreak/>
        <w:t>off-take safeguards into unified packages.</w:t>
      </w:r>
    </w:p>
    <w:p w14:paraId="5B7071D0" w14:textId="77777777" w:rsidR="00FB019D" w:rsidRDefault="00000000">
      <w:pPr>
        <w:numPr>
          <w:ilvl w:val="0"/>
          <w:numId w:val="114"/>
        </w:numPr>
        <w:pBdr>
          <w:top w:val="nil"/>
          <w:left w:val="nil"/>
          <w:bottom w:val="nil"/>
          <w:right w:val="nil"/>
          <w:between w:val="nil"/>
        </w:pBdr>
        <w:spacing w:before="0" w:after="0"/>
        <w:ind w:right="0"/>
      </w:pPr>
      <w:r>
        <w:rPr>
          <w:b/>
          <w:bCs/>
        </w:rPr>
        <w:t>De-risking Financial Capital:</w:t>
      </w:r>
      <w:r>
        <w:t xml:space="preserve"> Deploying localized guarantee funds, transition vouchers, and multi-season yield cushions funneled through cooperatives to protect smallholders during the initial "yield trough."</w:t>
      </w:r>
    </w:p>
    <w:p w14:paraId="5B7071D1" w14:textId="77777777" w:rsidR="00FB019D" w:rsidRDefault="00000000">
      <w:pPr>
        <w:numPr>
          <w:ilvl w:val="0"/>
          <w:numId w:val="114"/>
        </w:numPr>
        <w:pBdr>
          <w:top w:val="nil"/>
          <w:left w:val="nil"/>
          <w:bottom w:val="nil"/>
          <w:right w:val="nil"/>
          <w:between w:val="nil"/>
        </w:pBdr>
        <w:spacing w:before="0" w:after="0"/>
        <w:ind w:right="0"/>
      </w:pPr>
      <w:r>
        <w:rPr>
          <w:b/>
          <w:bCs/>
        </w:rPr>
        <w:t>Multi-Stakeholder Coordination Mechanisms:</w:t>
      </w:r>
      <w:r>
        <w:t xml:space="preserve"> Establishing permanent inter-ministerial taskforces (spanning agriculture, health, trade, and environment) to align conflicting policies and streamline subnational execution.</w:t>
      </w:r>
    </w:p>
    <w:p w14:paraId="5B7071D2" w14:textId="77777777" w:rsidR="00FB019D" w:rsidRDefault="00000000">
      <w:pPr>
        <w:numPr>
          <w:ilvl w:val="0"/>
          <w:numId w:val="114"/>
        </w:numPr>
        <w:pBdr>
          <w:top w:val="nil"/>
          <w:left w:val="nil"/>
          <w:bottom w:val="nil"/>
          <w:right w:val="nil"/>
          <w:between w:val="nil"/>
        </w:pBdr>
        <w:spacing w:before="0" w:after="0"/>
        <w:ind w:right="0"/>
      </w:pPr>
      <w:r>
        <w:rPr>
          <w:b/>
          <w:bCs/>
        </w:rPr>
        <w:t>Institutional Demand Anchors:</w:t>
      </w:r>
      <w:r>
        <w:t xml:space="preserve"> Mandating public procurement quotas (e.g., home-grown school feeding, hospital catering) to provide guaranteed, non-volatile market demand for transitioning smallholders.</w:t>
      </w:r>
    </w:p>
    <w:p w14:paraId="5B7071D3" w14:textId="77777777" w:rsidR="00FB019D" w:rsidRDefault="00000000">
      <w:pPr>
        <w:numPr>
          <w:ilvl w:val="0"/>
          <w:numId w:val="114"/>
        </w:numPr>
        <w:pBdr>
          <w:top w:val="nil"/>
          <w:left w:val="nil"/>
          <w:bottom w:val="nil"/>
          <w:right w:val="nil"/>
          <w:between w:val="nil"/>
        </w:pBdr>
        <w:spacing w:before="0" w:after="0"/>
        <w:ind w:right="0"/>
      </w:pPr>
      <w:r>
        <w:rPr>
          <w:b/>
          <w:bCs/>
        </w:rPr>
        <w:t>Upgrading Traditional Food Environments:</w:t>
      </w:r>
      <w:r>
        <w:t xml:space="preserve"> Equipping traditional wet markets (</w:t>
      </w:r>
      <w:r>
        <w:rPr>
          <w:i/>
          <w:iCs/>
        </w:rPr>
        <w:t>chợ</w:t>
      </w:r>
      <w:r>
        <w:t>) with cold-chain micro-infrastructure and verified safety stalls rather than forcing complete supermarket modernization.</w:t>
      </w:r>
    </w:p>
    <w:p w14:paraId="5B7071D4" w14:textId="77777777" w:rsidR="00FB019D" w:rsidRDefault="00000000">
      <w:pPr>
        <w:numPr>
          <w:ilvl w:val="0"/>
          <w:numId w:val="114"/>
        </w:numPr>
        <w:pBdr>
          <w:top w:val="nil"/>
          <w:left w:val="nil"/>
          <w:bottom w:val="nil"/>
          <w:right w:val="nil"/>
          <w:between w:val="nil"/>
        </w:pBdr>
        <w:spacing w:before="0" w:after="0"/>
        <w:ind w:right="0"/>
      </w:pPr>
      <w:r>
        <w:rPr>
          <w:b/>
          <w:bCs/>
        </w:rPr>
        <w:t>Power Realignment &amp; Counter-Governance:</w:t>
      </w:r>
      <w:r>
        <w:t xml:space="preserve"> Legally enshrining cooperative autonomy, strengthening farmer federations, and reallocating perverse chemical subsidies into public ecological transition funds.</w:t>
      </w:r>
    </w:p>
    <w:p w14:paraId="5B7071D5" w14:textId="77777777" w:rsidR="00FB019D" w:rsidRDefault="00000000">
      <w:pPr>
        <w:numPr>
          <w:ilvl w:val="0"/>
          <w:numId w:val="114"/>
        </w:numPr>
        <w:pBdr>
          <w:top w:val="nil"/>
          <w:left w:val="nil"/>
          <w:bottom w:val="nil"/>
          <w:right w:val="nil"/>
          <w:between w:val="nil"/>
        </w:pBdr>
        <w:spacing w:before="0" w:after="0"/>
        <w:ind w:right="0"/>
      </w:pPr>
      <w:r>
        <w:rPr>
          <w:b/>
          <w:bCs/>
        </w:rPr>
        <w:t>Restructuring Performance Indicators (KPIs):</w:t>
      </w:r>
      <w:r>
        <w:t xml:space="preserve"> Shifting public R&amp;D and extension benchmarks away from single-crop yield volume (</w:t>
      </w:r>
      <w:r>
        <w:rPr>
          <w:rFonts w:ascii="Arial" w:eastAsia="Arial" w:hAnsi="Arial" w:cs="Arial"/>
          <w:i/>
          <w:iCs/>
        </w:rPr>
        <w:t>t</w:t>
      </w:r>
      <w:r>
        <w:t>/</w:t>
      </w:r>
      <w:r>
        <w:rPr>
          <w:rFonts w:ascii="Arial" w:eastAsia="Arial" w:hAnsi="Arial" w:cs="Arial"/>
          <w:i/>
          <w:iCs/>
        </w:rPr>
        <w:t>ha</w:t>
      </w:r>
      <w:r>
        <w:t>) toward multi-crop farm profitability, soil organic carbon, and nutritional output per hectare.</w:t>
      </w:r>
    </w:p>
    <w:p w14:paraId="5B7071D6" w14:textId="77777777" w:rsidR="00FB019D" w:rsidRDefault="00000000">
      <w:pPr>
        <w:pBdr>
          <w:top w:val="nil"/>
          <w:left w:val="nil"/>
          <w:bottom w:val="nil"/>
          <w:right w:val="nil"/>
          <w:between w:val="nil"/>
        </w:pBdr>
        <w:spacing w:before="320" w:after="320"/>
        <w:ind w:left="0" w:right="0"/>
      </w:pPr>
      <w:r>
        <w:t>Would you like to synthesize this complete Q1–Q16 analysis into an executive summary, policy brief, or academic manuscript outline?</w:t>
      </w:r>
    </w:p>
    <w:p w14:paraId="5B7071D7" w14:textId="77777777" w:rsidR="00FB019D" w:rsidRDefault="00000000">
      <w:pPr>
        <w:pBdr>
          <w:top w:val="nil"/>
          <w:left w:val="nil"/>
          <w:bottom w:val="nil"/>
          <w:right w:val="nil"/>
          <w:between w:val="nil"/>
        </w:pBdr>
        <w:spacing w:before="0" w:after="0"/>
        <w:ind w:left="0" w:right="0"/>
      </w:pPr>
      <w:r>
        <w:pict w14:anchorId="5B7072F4">
          <v:rect id="_x0000_i1048" style="width:0;height:1.5pt" o:hralign="center" o:hrstd="t" o:hr="t" fillcolor="#a0a0a0" stroked="f"/>
        </w:pict>
      </w:r>
    </w:p>
    <w:p w14:paraId="5B7071D8"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Can you give me Q17-25 here so I don't need to go back to see them?</w:t>
      </w:r>
    </w:p>
    <w:p w14:paraId="5B7071D9" w14:textId="77777777" w:rsidR="00FB019D" w:rsidRDefault="00000000">
      <w:pPr>
        <w:pBdr>
          <w:top w:val="nil"/>
          <w:left w:val="nil"/>
          <w:bottom w:val="nil"/>
          <w:right w:val="nil"/>
          <w:between w:val="nil"/>
        </w:pBdr>
        <w:spacing w:before="0" w:after="320"/>
        <w:ind w:left="0" w:right="0"/>
      </w:pPr>
      <w:r>
        <w:t xml:space="preserve">Response: Here are questions </w:t>
      </w:r>
      <w:r>
        <w:rPr>
          <w:b/>
          <w:bCs/>
        </w:rPr>
        <w:t>Q17 to Q25</w:t>
      </w:r>
      <w:r>
        <w:t xml:space="preserve"> from our research paper set for your reference:</w:t>
      </w:r>
    </w:p>
    <w:p w14:paraId="5B7071DA" w14:textId="77777777" w:rsidR="00FB019D" w:rsidRDefault="00000000">
      <w:pPr>
        <w:pStyle w:val="Heading3"/>
        <w:spacing w:before="0"/>
      </w:pPr>
      <w:r>
        <w:t>Questions Q17 – Q25</w:t>
      </w:r>
    </w:p>
    <w:p w14:paraId="5B7071DB" w14:textId="77777777" w:rsidR="00FB019D" w:rsidRDefault="00000000">
      <w:pPr>
        <w:numPr>
          <w:ilvl w:val="0"/>
          <w:numId w:val="115"/>
        </w:numPr>
        <w:pBdr>
          <w:top w:val="nil"/>
          <w:left w:val="nil"/>
          <w:bottom w:val="nil"/>
          <w:right w:val="nil"/>
          <w:between w:val="nil"/>
        </w:pBdr>
        <w:spacing w:before="0" w:after="0"/>
        <w:ind w:right="0"/>
      </w:pPr>
      <w:r>
        <w:rPr>
          <w:b/>
          <w:bCs/>
        </w:rPr>
        <w:t>Q17:</w:t>
      </w:r>
      <w:r>
        <w:t xml:space="preserve"> "How can subnational multi-stakeholder platforms (e.g., provincial food system task forces) effectively coordinate cross-sectoral actions without becoming toothless advisory bodies prone to administrative inertia?"</w:t>
      </w:r>
    </w:p>
    <w:p w14:paraId="5B7071DC" w14:textId="77777777" w:rsidR="00FB019D" w:rsidRDefault="00000000">
      <w:pPr>
        <w:numPr>
          <w:ilvl w:val="0"/>
          <w:numId w:val="115"/>
        </w:numPr>
        <w:pBdr>
          <w:top w:val="nil"/>
          <w:left w:val="nil"/>
          <w:bottom w:val="nil"/>
          <w:right w:val="nil"/>
          <w:between w:val="nil"/>
        </w:pBdr>
        <w:spacing w:before="0" w:after="0"/>
        <w:ind w:right="0"/>
      </w:pPr>
      <w:r>
        <w:rPr>
          <w:b/>
          <w:bCs/>
        </w:rPr>
        <w:t>Q18:</w:t>
      </w:r>
      <w:r>
        <w:t xml:space="preserve"> "In what ways do traditional gender roles within Asian smallholder agriculture dictate the adoption, labor burden, and financial returns of regenerative agricultural transitions?"</w:t>
      </w:r>
    </w:p>
    <w:p w14:paraId="5B7071DD" w14:textId="77777777" w:rsidR="00FB019D" w:rsidRDefault="00000000">
      <w:pPr>
        <w:numPr>
          <w:ilvl w:val="0"/>
          <w:numId w:val="115"/>
        </w:numPr>
        <w:pBdr>
          <w:top w:val="nil"/>
          <w:left w:val="nil"/>
          <w:bottom w:val="nil"/>
          <w:right w:val="nil"/>
          <w:between w:val="nil"/>
        </w:pBdr>
        <w:spacing w:before="0" w:after="0"/>
        <w:ind w:right="0"/>
      </w:pPr>
      <w:r>
        <w:rPr>
          <w:b/>
          <w:bCs/>
        </w:rPr>
        <w:t>Q19:</w:t>
      </w:r>
      <w:r>
        <w:t xml:space="preserve"> "How can youth-led agricultural entrepreneurship and digital innovation be leveraged to counteract the aging farming demographic and rural out-migration across Southeast Asia?"</w:t>
      </w:r>
    </w:p>
    <w:p w14:paraId="5B7071DE" w14:textId="77777777" w:rsidR="00FB019D" w:rsidRDefault="00000000">
      <w:pPr>
        <w:numPr>
          <w:ilvl w:val="0"/>
          <w:numId w:val="115"/>
        </w:numPr>
        <w:pBdr>
          <w:top w:val="nil"/>
          <w:left w:val="nil"/>
          <w:bottom w:val="nil"/>
          <w:right w:val="nil"/>
          <w:between w:val="nil"/>
        </w:pBdr>
        <w:spacing w:before="0" w:after="0"/>
        <w:ind w:right="0"/>
      </w:pPr>
      <w:r>
        <w:rPr>
          <w:b/>
          <w:bCs/>
        </w:rPr>
        <w:t>Q20:</w:t>
      </w:r>
      <w:r>
        <w:t xml:space="preserve"> "To what extent does the depoliticized, carbon-centric framing of 'regenerative agriculture' risk commodifying natural ecosystems compared to comprehensive, socially transformative agroecological movements?"</w:t>
      </w:r>
    </w:p>
    <w:p w14:paraId="5B7071DF" w14:textId="77777777" w:rsidR="00FB019D" w:rsidRDefault="00000000">
      <w:pPr>
        <w:numPr>
          <w:ilvl w:val="0"/>
          <w:numId w:val="115"/>
        </w:numPr>
        <w:pBdr>
          <w:top w:val="nil"/>
          <w:left w:val="nil"/>
          <w:bottom w:val="nil"/>
          <w:right w:val="nil"/>
          <w:between w:val="nil"/>
        </w:pBdr>
        <w:spacing w:before="0" w:after="0"/>
        <w:ind w:right="0"/>
      </w:pPr>
      <w:r>
        <w:rPr>
          <w:b/>
          <w:bCs/>
        </w:rPr>
        <w:t>Q21:</w:t>
      </w:r>
      <w:r>
        <w:t xml:space="preserve"> "How can international donor-funded agricultural programs avoid creating 'subsidy dependencies' or ephemeral success stories that collapse immediately after project funding cycles end?"</w:t>
      </w:r>
    </w:p>
    <w:p w14:paraId="5B7071E0" w14:textId="77777777" w:rsidR="00FB019D" w:rsidRDefault="00000000">
      <w:pPr>
        <w:numPr>
          <w:ilvl w:val="0"/>
          <w:numId w:val="115"/>
        </w:numPr>
        <w:pBdr>
          <w:top w:val="nil"/>
          <w:left w:val="nil"/>
          <w:bottom w:val="nil"/>
          <w:right w:val="nil"/>
          <w:between w:val="nil"/>
        </w:pBdr>
        <w:spacing w:before="0" w:after="0"/>
        <w:ind w:right="0"/>
      </w:pPr>
      <w:r>
        <w:rPr>
          <w:b/>
          <w:bCs/>
        </w:rPr>
        <w:t>Q22:</w:t>
      </w:r>
      <w:r>
        <w:t xml:space="preserve"> "What structural mechanisms can safeguard localized Participatory Guarantee Systems (PGS) and smallholder cooperatives from corporate co-optation as large agri-food conglomerates enter the 'green' market space?"</w:t>
      </w:r>
    </w:p>
    <w:p w14:paraId="5B7071E1" w14:textId="77777777" w:rsidR="00FB019D" w:rsidRDefault="00000000">
      <w:pPr>
        <w:numPr>
          <w:ilvl w:val="0"/>
          <w:numId w:val="115"/>
        </w:numPr>
        <w:pBdr>
          <w:top w:val="nil"/>
          <w:left w:val="nil"/>
          <w:bottom w:val="nil"/>
          <w:right w:val="nil"/>
          <w:between w:val="nil"/>
        </w:pBdr>
        <w:spacing w:before="0" w:after="0"/>
        <w:ind w:right="0"/>
      </w:pPr>
      <w:r>
        <w:rPr>
          <w:b/>
          <w:bCs/>
        </w:rPr>
        <w:t>Q23:</w:t>
      </w:r>
      <w:r>
        <w:t xml:space="preserve"> "How can land tenure insecurity and customary land rights frameworks in ASEAN be reconciled with the multi-year investment horizons required for soil organic matter restoration and agroforestry?"</w:t>
      </w:r>
    </w:p>
    <w:p w14:paraId="5B7071E2" w14:textId="77777777" w:rsidR="00FB019D" w:rsidRDefault="00000000">
      <w:pPr>
        <w:numPr>
          <w:ilvl w:val="0"/>
          <w:numId w:val="115"/>
        </w:numPr>
        <w:pBdr>
          <w:top w:val="nil"/>
          <w:left w:val="nil"/>
          <w:bottom w:val="nil"/>
          <w:right w:val="nil"/>
          <w:between w:val="nil"/>
        </w:pBdr>
        <w:spacing w:before="0" w:after="0"/>
        <w:ind w:right="0"/>
      </w:pPr>
      <w:r>
        <w:rPr>
          <w:b/>
          <w:bCs/>
        </w:rPr>
        <w:lastRenderedPageBreak/>
        <w:t>Q24:</w:t>
      </w:r>
      <w:r>
        <w:t xml:space="preserve"> "What role do regional trade logistics, cold-chain infrastructure, and post-harvest technology play in reducing physical food loss before safe/regenerative produce reaches urban markets?"</w:t>
      </w:r>
    </w:p>
    <w:p w14:paraId="5B7071E3" w14:textId="77777777" w:rsidR="00FB019D" w:rsidRDefault="00000000">
      <w:pPr>
        <w:numPr>
          <w:ilvl w:val="0"/>
          <w:numId w:val="115"/>
        </w:numPr>
        <w:pBdr>
          <w:top w:val="nil"/>
          <w:left w:val="nil"/>
          <w:bottom w:val="nil"/>
          <w:right w:val="nil"/>
          <w:between w:val="nil"/>
        </w:pBdr>
        <w:spacing w:before="0" w:after="0"/>
        <w:ind w:right="0"/>
      </w:pPr>
      <w:r>
        <w:rPr>
          <w:b/>
          <w:bCs/>
        </w:rPr>
        <w:t>Q25:</w:t>
      </w:r>
      <w:r>
        <w:t xml:space="preserve"> "When market premiums fail to materialize or fluctuate unpredictably, what non-market governance mechanisms (such as agrarian social movements, community-supported agriculture, or public stewardship payments) provide the most stable foundation for long-term ecological restoration?"</w:t>
      </w:r>
    </w:p>
    <w:p w14:paraId="5B7071E4" w14:textId="77777777" w:rsidR="00FB019D" w:rsidRDefault="00000000">
      <w:pPr>
        <w:pBdr>
          <w:top w:val="nil"/>
          <w:left w:val="nil"/>
          <w:bottom w:val="nil"/>
          <w:right w:val="nil"/>
          <w:between w:val="nil"/>
        </w:pBdr>
        <w:spacing w:before="320" w:after="320"/>
        <w:ind w:left="0" w:right="0"/>
      </w:pPr>
      <w:r>
        <w:t>Whenever you are ready, we can tackle these questions next!</w:t>
      </w:r>
    </w:p>
    <w:p w14:paraId="5B7071E5" w14:textId="77777777" w:rsidR="00FB019D" w:rsidRDefault="00000000">
      <w:pPr>
        <w:pBdr>
          <w:top w:val="nil"/>
          <w:left w:val="nil"/>
          <w:bottom w:val="nil"/>
          <w:right w:val="nil"/>
          <w:between w:val="nil"/>
        </w:pBdr>
        <w:spacing w:before="0" w:after="0"/>
        <w:ind w:left="0" w:right="0"/>
      </w:pPr>
      <w:r>
        <w:pict w14:anchorId="5B7072F5">
          <v:rect id="_x0000_i1049" style="width:0;height:1.5pt" o:hralign="center" o:hrstd="t" o:hr="t" fillcolor="#a0a0a0" stroked="f"/>
        </w:pict>
      </w:r>
    </w:p>
    <w:p w14:paraId="5B7071E6"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Q17. Okay now one of the main intervention. Institutionalization: integrate their mandates into policies and plans, Financial: mapping their activities into existing financial mechanisms, e.g. they can support grant writing or provide guidelines to access existing funds, I can think only two, but you can add. We should also look at cases from the literature. It is always easier said than done. Q18. I don't study gender a lot but from my perspective, women play a central role in regenerative/organic foods already. What did the literature really say about gender in those cases? Q19. The youth is motivated to adopt innovations and transform the systems. We should leverage on that, by incorporating them and also finding and empowering "champions" to anchor the scaling.</w:t>
      </w:r>
    </w:p>
    <w:p w14:paraId="5B7071E7"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1E8" w14:textId="77777777" w:rsidR="00FB019D" w:rsidRDefault="00000000">
      <w:pPr>
        <w:numPr>
          <w:ilvl w:val="0"/>
          <w:numId w:val="116"/>
        </w:numPr>
        <w:pBdr>
          <w:top w:val="nil"/>
          <w:left w:val="nil"/>
          <w:bottom w:val="nil"/>
          <w:right w:val="nil"/>
          <w:between w:val="nil"/>
        </w:pBdr>
        <w:spacing w:before="0" w:after="0"/>
        <w:ind w:right="0"/>
      </w:pPr>
      <w:r>
        <w:rPr>
          <w:i/>
          <w:iCs/>
        </w:rPr>
        <w:t>Q17:</w:t>
      </w:r>
      <w:r>
        <w:t xml:space="preserve"> "How can subnational multi-stakeholder platforms (e.g., provincial food system task forces) effectively coordinate cross-sectoral actions without becoming toothless advisory bodies prone to administrative inertia?"</w:t>
      </w:r>
    </w:p>
    <w:p w14:paraId="5B7071E9" w14:textId="77777777" w:rsidR="00FB019D" w:rsidRDefault="00000000">
      <w:pPr>
        <w:numPr>
          <w:ilvl w:val="0"/>
          <w:numId w:val="116"/>
        </w:numPr>
        <w:pBdr>
          <w:top w:val="nil"/>
          <w:left w:val="nil"/>
          <w:bottom w:val="nil"/>
          <w:right w:val="nil"/>
          <w:between w:val="nil"/>
        </w:pBdr>
        <w:spacing w:before="0" w:after="0"/>
        <w:ind w:right="0"/>
      </w:pPr>
      <w:r>
        <w:rPr>
          <w:i/>
          <w:iCs/>
        </w:rPr>
        <w:t>Q18:</w:t>
      </w:r>
      <w:r>
        <w:t xml:space="preserve"> "In what ways do traditional gender roles within Asian smallholder agriculture dictate the adoption, labor burden, and financial returns of regenerative agricultural transitions?"</w:t>
      </w:r>
    </w:p>
    <w:p w14:paraId="5B7071EA" w14:textId="77777777" w:rsidR="00FB019D" w:rsidRDefault="00000000">
      <w:pPr>
        <w:numPr>
          <w:ilvl w:val="0"/>
          <w:numId w:val="116"/>
        </w:numPr>
        <w:pBdr>
          <w:top w:val="nil"/>
          <w:left w:val="nil"/>
          <w:bottom w:val="nil"/>
          <w:right w:val="nil"/>
          <w:between w:val="nil"/>
        </w:pBdr>
        <w:spacing w:before="0" w:after="0"/>
        <w:ind w:right="0"/>
      </w:pPr>
      <w:r>
        <w:rPr>
          <w:i/>
          <w:iCs/>
        </w:rPr>
        <w:t>Q19:</w:t>
      </w:r>
      <w:r>
        <w:t xml:space="preserve"> "How can youth-led agricultural entrepreneurship and digital innovation be leveraged to counteract the aging farming demographic and rural out-migration across Southeast Asia?"</w:t>
      </w:r>
    </w:p>
    <w:p w14:paraId="5B7071EB" w14:textId="77777777" w:rsidR="00FB019D" w:rsidRDefault="00000000">
      <w:pPr>
        <w:pStyle w:val="Heading3"/>
        <w:spacing w:after="320"/>
      </w:pPr>
      <w:r>
        <w:t>Expert Critique &amp; Systems-Thinking Analysis</w:t>
      </w:r>
    </w:p>
    <w:p w14:paraId="5B7071EC" w14:textId="77777777" w:rsidR="00FB019D" w:rsidRDefault="00000000">
      <w:pPr>
        <w:pBdr>
          <w:top w:val="nil"/>
          <w:left w:val="nil"/>
          <w:bottom w:val="nil"/>
          <w:right w:val="nil"/>
          <w:between w:val="nil"/>
        </w:pBdr>
        <w:spacing w:before="0" w:after="320"/>
        <w:ind w:left="0" w:right="0"/>
      </w:pPr>
      <w:r>
        <w:t xml:space="preserve">Your practical insights on </w:t>
      </w:r>
      <w:r>
        <w:rPr>
          <w:b/>
          <w:bCs/>
        </w:rPr>
        <w:t>Q17, Q18, and Q19</w:t>
      </w:r>
      <w:r>
        <w:t xml:space="preserve"> pinpoint the core human, institutional, and demographic dynamics that dictate whether sustainable food policies actually take root or remain on paper.</w:t>
      </w:r>
    </w:p>
    <w:p w14:paraId="5B7071ED" w14:textId="77777777" w:rsidR="00FB019D" w:rsidRDefault="00000000">
      <w:pPr>
        <w:pBdr>
          <w:top w:val="nil"/>
          <w:left w:val="nil"/>
          <w:bottom w:val="nil"/>
          <w:right w:val="nil"/>
          <w:between w:val="nil"/>
        </w:pBdr>
        <w:spacing w:before="0" w:after="320"/>
        <w:ind w:left="0" w:right="0"/>
      </w:pPr>
      <w:r>
        <w:t>Let's evaluate each question using empirical literature, comparative case studies, and systems-thinking:</w:t>
      </w:r>
    </w:p>
    <w:p w14:paraId="5B7071EE" w14:textId="77777777" w:rsidR="00FB019D" w:rsidRDefault="00000000">
      <w:pPr>
        <w:pStyle w:val="Heading3"/>
        <w:spacing w:before="0"/>
      </w:pPr>
      <w:r>
        <w:t>1. Addressing Q17: Transforming Subnational Task Forces into Actionable Governance</w:t>
      </w:r>
    </w:p>
    <w:p w14:paraId="5B7071EF" w14:textId="77777777" w:rsidR="00FB019D" w:rsidRDefault="00000000">
      <w:pPr>
        <w:numPr>
          <w:ilvl w:val="0"/>
          <w:numId w:val="117"/>
        </w:numPr>
        <w:pBdr>
          <w:top w:val="nil"/>
          <w:left w:val="nil"/>
          <w:bottom w:val="nil"/>
          <w:right w:val="nil"/>
          <w:between w:val="nil"/>
        </w:pBdr>
        <w:spacing w:before="0" w:after="0"/>
        <w:ind w:right="0"/>
      </w:pPr>
      <w:r>
        <w:rPr>
          <w:b/>
          <w:bCs/>
        </w:rPr>
        <w:t>The Problem:</w:t>
      </w:r>
      <w:r>
        <w:t xml:space="preserve"> Subnational platforms (like provincial food system committees or municipal agriculture task forces) frequently devolve into "talk shops" or toothless advisory bodies due to administrative inertia, lack of statutory authority, and zero independent budget allocation.</w:t>
      </w:r>
    </w:p>
    <w:p w14:paraId="5B7071F0" w14:textId="77777777" w:rsidR="00FB019D" w:rsidRDefault="00000000">
      <w:pPr>
        <w:numPr>
          <w:ilvl w:val="0"/>
          <w:numId w:val="117"/>
        </w:numPr>
        <w:pBdr>
          <w:top w:val="nil"/>
          <w:left w:val="nil"/>
          <w:bottom w:val="nil"/>
          <w:right w:val="nil"/>
          <w:between w:val="nil"/>
        </w:pBdr>
        <w:spacing w:before="0" w:after="0"/>
        <w:ind w:right="0"/>
      </w:pPr>
      <w:r>
        <w:rPr>
          <w:b/>
          <w:bCs/>
        </w:rPr>
        <w:t>Your Points:</w:t>
      </w:r>
      <w:r>
        <w:t xml:space="preserve"> Institutionalization (mandate in plans) and Financial Mapping (linking to existing funds/grant writing).</w:t>
      </w:r>
    </w:p>
    <w:p w14:paraId="5B7071F1" w14:textId="77777777" w:rsidR="00FB019D" w:rsidRDefault="00000000">
      <w:pPr>
        <w:numPr>
          <w:ilvl w:val="0"/>
          <w:numId w:val="117"/>
        </w:numPr>
        <w:pBdr>
          <w:top w:val="nil"/>
          <w:left w:val="nil"/>
          <w:bottom w:val="nil"/>
          <w:right w:val="nil"/>
          <w:between w:val="nil"/>
        </w:pBdr>
        <w:spacing w:before="0" w:after="0"/>
        <w:ind w:right="0"/>
      </w:pPr>
      <w:r>
        <w:rPr>
          <w:b/>
          <w:bCs/>
        </w:rPr>
        <w:t>Expanding the Framework &amp; Comparative Evidence:</w:t>
      </w:r>
      <w:r>
        <w:t xml:space="preserve"> To prevent these platforms from failing, literature on multi-stakeholder governance (e.g., Brouwer et al., 2016; IPES-Food; FAO Urban Food Governance) highlights </w:t>
      </w:r>
      <w:r>
        <w:rPr>
          <w:b/>
          <w:bCs/>
        </w:rPr>
        <w:t>four structural pillars</w:t>
      </w:r>
      <w:r>
        <w:t>:</w:t>
      </w:r>
    </w:p>
    <w:p w14:paraId="5B7071F2" w14:textId="77777777" w:rsidR="00FB019D"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                       ┌─────────────────────────────────────────┐</w:t>
      </w:r>
      <w:r>
        <w:rPr>
          <w:rFonts w:ascii="Courier" w:eastAsia="Courier" w:hAnsi="Courier" w:cs="Courier"/>
        </w:rPr>
        <w:br/>
      </w:r>
      <w:r>
        <w:rPr>
          <w:rFonts w:ascii="Courier" w:eastAsia="Courier" w:hAnsi="Courier" w:cs="Courier"/>
        </w:rPr>
        <w:lastRenderedPageBreak/>
        <w:t xml:space="preserve">                       │ Subnational Multi-Stakeholder Platforms │</w:t>
      </w:r>
      <w:r>
        <w:rPr>
          <w:rFonts w:ascii="Courier" w:eastAsia="Courier" w:hAnsi="Courier" w:cs="Courier"/>
        </w:rPr>
        <w:br/>
        <w:t xml:space="preserve">                       │     (Provincial Task Forces / MSPs)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                                        │                       │</w:t>
      </w:r>
      <w:r>
        <w:rPr>
          <w:rFonts w:ascii="Courier" w:eastAsia="Courier" w:hAnsi="Courier" w:cs="Courier"/>
        </w:rPr>
        <w:br/>
        <w:t xml:space="preserve">   ▼                       ▼                                        ▼                       ▼</w:t>
      </w:r>
      <w:r>
        <w:rPr>
          <w:rFonts w:ascii="Courier" w:eastAsia="Courier" w:hAnsi="Courier" w:cs="Courier"/>
        </w:rPr>
        <w:br/>
        <w:t>┌───────────────────────┐┌───────────────────────┐┌───────────────────────┐┌───────────────────────┐</w:t>
      </w:r>
      <w:r>
        <w:rPr>
          <w:rFonts w:ascii="Courier" w:eastAsia="Courier" w:hAnsi="Courier" w:cs="Courier"/>
        </w:rPr>
        <w:br/>
        <w:t>│ 1. Statutory Mandate  ││ 2. Budget Architecture││ 3. Inter-Ministerial  ││ 4. Co-Ownership &amp;     │</w:t>
      </w:r>
      <w:r>
        <w:rPr>
          <w:rFonts w:ascii="Courier" w:eastAsia="Courier" w:hAnsi="Courier" w:cs="Courier"/>
        </w:rPr>
        <w:br/>
        <w:t>│    &amp; Legal Executive  ││    &amp; Financial Co-    ││    KPI Accountability ││    Non-State Power    │</w:t>
      </w:r>
      <w:r>
        <w:rPr>
          <w:rFonts w:ascii="Courier" w:eastAsia="Courier" w:hAnsi="Courier" w:cs="Courier"/>
        </w:rPr>
        <w:br/>
        <w:t>│    Power              ││    Mapping            ││    Mechanisms         ││    (Coops, Civil Soc.)│</w:t>
      </w:r>
      <w:r>
        <w:rPr>
          <w:rFonts w:ascii="Courier" w:eastAsia="Courier" w:hAnsi="Courier" w:cs="Courier"/>
        </w:rPr>
        <w:br/>
        <w:t>└───────────────────────┘└───────────────────────┘└───────────────────────┘└───────────────────────┘</w:t>
      </w:r>
      <w:r>
        <w:rPr>
          <w:rFonts w:ascii="Courier" w:eastAsia="Courier" w:hAnsi="Courier" w:cs="Courier"/>
        </w:rPr>
        <w:br/>
      </w:r>
    </w:p>
    <w:p w14:paraId="5B7071F3" w14:textId="77777777" w:rsidR="00FB019D" w:rsidRDefault="00000000">
      <w:pPr>
        <w:numPr>
          <w:ilvl w:val="0"/>
          <w:numId w:val="118"/>
        </w:numPr>
        <w:pBdr>
          <w:top w:val="nil"/>
          <w:left w:val="nil"/>
          <w:bottom w:val="nil"/>
          <w:right w:val="nil"/>
          <w:between w:val="nil"/>
        </w:pBdr>
        <w:spacing w:before="0" w:after="0"/>
        <w:ind w:right="0"/>
      </w:pPr>
      <w:r>
        <w:rPr>
          <w:b/>
          <w:bCs/>
        </w:rPr>
        <w:t>Statutory Executive Mandate (Legal Embedding):</w:t>
      </w:r>
      <w:r>
        <w:t xml:space="preserve"> The taskforce must be formally created under a Provincial People’s Committee decree or Ministerial Executive Order giving it decision-making power over subnational spatial planning and agricultural development budgets, rather than functioning merely as an informal advisory panel.</w:t>
      </w:r>
    </w:p>
    <w:p w14:paraId="5B7071F4" w14:textId="77777777" w:rsidR="00FB019D" w:rsidRDefault="00000000">
      <w:pPr>
        <w:numPr>
          <w:ilvl w:val="0"/>
          <w:numId w:val="118"/>
        </w:numPr>
        <w:pBdr>
          <w:top w:val="nil"/>
          <w:left w:val="nil"/>
          <w:bottom w:val="nil"/>
          <w:right w:val="nil"/>
          <w:between w:val="nil"/>
        </w:pBdr>
        <w:spacing w:before="0" w:after="0"/>
        <w:ind w:right="0"/>
      </w:pPr>
      <w:r>
        <w:rPr>
          <w:b/>
          <w:bCs/>
        </w:rPr>
        <w:t>Financial Mapping &amp; Co-Budgeting:</w:t>
      </w:r>
      <w:r>
        <w:t xml:space="preserve"> As you noted, the platform must map its priority actions directly into provincial socio-economic development plans (SEDP) and existing line-ministry budgets. It should also have a dedicated operational budget to hire technical grant-writers who help local cooperatives access national green climate funds or multilateral transition grants.</w:t>
      </w:r>
    </w:p>
    <w:p w14:paraId="5B7071F5" w14:textId="77777777" w:rsidR="00FB019D" w:rsidRDefault="00000000">
      <w:pPr>
        <w:numPr>
          <w:ilvl w:val="0"/>
          <w:numId w:val="118"/>
        </w:numPr>
        <w:pBdr>
          <w:top w:val="nil"/>
          <w:left w:val="nil"/>
          <w:bottom w:val="nil"/>
          <w:right w:val="nil"/>
          <w:between w:val="nil"/>
        </w:pBdr>
        <w:spacing w:before="0" w:after="0"/>
        <w:ind w:right="0"/>
      </w:pPr>
      <w:r>
        <w:rPr>
          <w:b/>
          <w:bCs/>
        </w:rPr>
        <w:t>Shared Inter-Ministerial KPIs:</w:t>
      </w:r>
      <w:r>
        <w:t xml:space="preserve"> Unifying departmental performance metrics so that officials from Agriculture, Health, Trade, and Environment are evaluated on shared targets (e.g., reduction in chemical pesticide load, percentage of local cooperative produce in municipal school meals).</w:t>
      </w:r>
    </w:p>
    <w:p w14:paraId="5B7071F6" w14:textId="77777777" w:rsidR="00FB019D" w:rsidRDefault="00000000">
      <w:pPr>
        <w:numPr>
          <w:ilvl w:val="0"/>
          <w:numId w:val="118"/>
        </w:numPr>
        <w:pBdr>
          <w:top w:val="nil"/>
          <w:left w:val="nil"/>
          <w:bottom w:val="nil"/>
          <w:right w:val="nil"/>
          <w:between w:val="nil"/>
        </w:pBdr>
        <w:spacing w:before="0" w:after="0"/>
        <w:ind w:right="0"/>
      </w:pPr>
      <w:r>
        <w:rPr>
          <w:b/>
          <w:bCs/>
        </w:rPr>
        <w:t>Non-State Co-Ownership:</w:t>
      </w:r>
      <w:r>
        <w:t xml:space="preserve"> Mandating that at least 40% of voting seats belong to farmer cooperatives, local food SME associations, and civil society networks. This prevents bureaucratic capture and ensures accountability.</w:t>
      </w:r>
    </w:p>
    <w:p w14:paraId="5B7071F7" w14:textId="77777777" w:rsidR="00FB019D" w:rsidRDefault="00000000">
      <w:pPr>
        <w:numPr>
          <w:ilvl w:val="0"/>
          <w:numId w:val="119"/>
        </w:numPr>
        <w:pBdr>
          <w:top w:val="nil"/>
          <w:left w:val="nil"/>
          <w:bottom w:val="nil"/>
          <w:right w:val="nil"/>
          <w:between w:val="nil"/>
        </w:pBdr>
        <w:spacing w:before="0" w:after="0"/>
        <w:ind w:right="0"/>
      </w:pPr>
      <w:r>
        <w:rPr>
          <w:i/>
          <w:iCs/>
        </w:rPr>
        <w:t>Case Study Example:</w:t>
      </w:r>
      <w:r>
        <w:t xml:space="preserve"> </w:t>
      </w:r>
      <w:r>
        <w:rPr>
          <w:b/>
          <w:bCs/>
        </w:rPr>
        <w:t>Cambodia’s Council for Agricultural and Rural Development (CARD)</w:t>
      </w:r>
      <w:r>
        <w:t xml:space="preserve"> operates as a horizontal, cross-ministerial body that coordinates subnational food security plans across ministries by embedding guidelines directly into subnational government funding cycles.</w:t>
      </w:r>
    </w:p>
    <w:p w14:paraId="5B7071F8" w14:textId="77777777" w:rsidR="00FB019D" w:rsidRDefault="00000000">
      <w:pPr>
        <w:pStyle w:val="Heading3"/>
      </w:pPr>
      <w:r>
        <w:t>2. Addressing Q18: Gender Dynamics in Regenerative Transitions</w:t>
      </w:r>
    </w:p>
    <w:p w14:paraId="5B7071F9" w14:textId="77777777" w:rsidR="00FB019D" w:rsidRDefault="00000000">
      <w:pPr>
        <w:numPr>
          <w:ilvl w:val="0"/>
          <w:numId w:val="121"/>
        </w:numPr>
        <w:pBdr>
          <w:top w:val="nil"/>
          <w:left w:val="nil"/>
          <w:bottom w:val="nil"/>
          <w:right w:val="nil"/>
          <w:between w:val="nil"/>
        </w:pBdr>
        <w:spacing w:before="0" w:after="0"/>
        <w:ind w:right="0"/>
      </w:pPr>
      <w:r>
        <w:rPr>
          <w:b/>
          <w:bCs/>
        </w:rPr>
        <w:t>Your Point:</w:t>
      </w:r>
      <w:r>
        <w:t xml:space="preserve"> Women already play a central role in organic and regenerative farming, but what does the academic literature actually say?</w:t>
      </w:r>
    </w:p>
    <w:p w14:paraId="5B7071FA" w14:textId="77777777" w:rsidR="00FB019D" w:rsidRDefault="00000000">
      <w:pPr>
        <w:numPr>
          <w:ilvl w:val="0"/>
          <w:numId w:val="121"/>
        </w:numPr>
        <w:pBdr>
          <w:top w:val="nil"/>
          <w:left w:val="nil"/>
          <w:bottom w:val="nil"/>
          <w:right w:val="nil"/>
          <w:between w:val="nil"/>
        </w:pBdr>
        <w:spacing w:before="0" w:after="0"/>
        <w:ind w:right="0"/>
      </w:pPr>
      <w:r>
        <w:rPr>
          <w:b/>
          <w:bCs/>
        </w:rPr>
        <w:t>What the Empirical Literature Reveals:</w:t>
      </w:r>
      <w:r>
        <w:t xml:space="preserve"> The gender and agronomy literature (e.g., Behrman, Meinzen-Dick, &amp; Quisumbing, 2012; Doss, Summerfield, &amp; Tsikata, 2014; Akter et al., 2017) shows a </w:t>
      </w:r>
      <w:r>
        <w:rPr>
          <w:b/>
          <w:bCs/>
        </w:rPr>
        <w:t>nuanced, double-edged reality</w:t>
      </w:r>
      <w:r>
        <w:t>:</w:t>
      </w:r>
    </w:p>
    <w:p w14:paraId="5B7071FB" w14:textId="77777777" w:rsidR="00FB019D" w:rsidRDefault="00000000">
      <w:pPr>
        <w:numPr>
          <w:ilvl w:val="1"/>
          <w:numId w:val="122"/>
        </w:numPr>
        <w:pBdr>
          <w:top w:val="nil"/>
          <w:left w:val="nil"/>
          <w:bottom w:val="nil"/>
          <w:right w:val="nil"/>
          <w:between w:val="nil"/>
        </w:pBdr>
        <w:spacing w:before="0" w:after="0"/>
        <w:ind w:right="0"/>
      </w:pPr>
      <w:r>
        <w:rPr>
          <w:b/>
          <w:bCs/>
        </w:rPr>
        <w:t>The "Feminization of Agriculture" without Equal Rights:</w:t>
      </w:r>
      <w:r>
        <w:t xml:space="preserve"> Across Southeast Asia, male rural out-migration to urban industrial sectors has left women managing the majority of daily farm labor. However, land titles, formal extension training, and credit lines remain disproportionately controlled by male heads of household.</w:t>
      </w:r>
    </w:p>
    <w:p w14:paraId="5B7071FC" w14:textId="77777777" w:rsidR="00FB019D" w:rsidRDefault="00000000">
      <w:pPr>
        <w:numPr>
          <w:ilvl w:val="1"/>
          <w:numId w:val="122"/>
        </w:numPr>
        <w:pBdr>
          <w:top w:val="nil"/>
          <w:left w:val="nil"/>
          <w:bottom w:val="nil"/>
          <w:right w:val="nil"/>
          <w:between w:val="nil"/>
        </w:pBdr>
        <w:spacing w:before="0" w:after="0"/>
        <w:ind w:right="0"/>
      </w:pPr>
      <w:r>
        <w:rPr>
          <w:b/>
          <w:bCs/>
        </w:rPr>
        <w:t>The Regenerative Labor Paradox:</w:t>
      </w:r>
      <w:r>
        <w:t xml:space="preserve"> Regenerative and agroecological practices (hand-weeding instead of spraying herbicides, preparing bio-inputs, composting, intercropping) are often </w:t>
      </w:r>
      <w:r>
        <w:rPr>
          <w:b/>
          <w:bCs/>
        </w:rPr>
        <w:lastRenderedPageBreak/>
        <w:t>significantly more labor-intensive</w:t>
      </w:r>
      <w:r>
        <w:t xml:space="preserve"> during the initial 3–5 years. Because domestic and caregiving duties already fall on women, switching to RA can accidentally </w:t>
      </w:r>
      <w:r>
        <w:rPr>
          <w:b/>
          <w:bCs/>
        </w:rPr>
        <w:t>triple the unpaid labor burden on female farmers</w:t>
      </w:r>
      <w:r>
        <w:t xml:space="preserve"> unless mechanized or labor-saving biological tools (like micro-mechanized weeding or bio-input services) are introduced.</w:t>
      </w:r>
    </w:p>
    <w:p w14:paraId="5B7071FD" w14:textId="77777777" w:rsidR="00FB019D" w:rsidRDefault="00000000">
      <w:pPr>
        <w:numPr>
          <w:ilvl w:val="1"/>
          <w:numId w:val="122"/>
        </w:numPr>
        <w:pBdr>
          <w:top w:val="nil"/>
          <w:left w:val="nil"/>
          <w:bottom w:val="nil"/>
          <w:right w:val="nil"/>
          <w:between w:val="nil"/>
        </w:pBdr>
        <w:spacing w:before="0" w:after="0"/>
        <w:ind w:right="0"/>
      </w:pPr>
      <w:r>
        <w:rPr>
          <w:b/>
          <w:bCs/>
        </w:rPr>
        <w:t>Value Chain Displacement:</w:t>
      </w:r>
      <w:r>
        <w:t xml:space="preserve"> Literature shows that while women handle the most labor-intensive tasks in low-margin informal/local markets, as soon as a regenerative value chain becomes highly profitable, formalized, or export-oriented, </w:t>
      </w:r>
      <w:r>
        <w:rPr>
          <w:b/>
          <w:bCs/>
        </w:rPr>
        <w:t>male actors frequently step in to take control of cooperative management, pricing, and buyer contracts.</w:t>
      </w:r>
    </w:p>
    <w:p w14:paraId="5B7071FE" w14:textId="77777777" w:rsidR="00FB019D" w:rsidRDefault="00000000">
      <w:pPr>
        <w:numPr>
          <w:ilvl w:val="1"/>
          <w:numId w:val="122"/>
        </w:numPr>
        <w:pBdr>
          <w:top w:val="nil"/>
          <w:left w:val="nil"/>
          <w:bottom w:val="nil"/>
          <w:right w:val="nil"/>
          <w:between w:val="nil"/>
        </w:pBdr>
        <w:spacing w:before="0" w:after="0"/>
        <w:ind w:right="0"/>
      </w:pPr>
      <w:r>
        <w:rPr>
          <w:i/>
          <w:iCs/>
        </w:rPr>
        <w:t>Policy Implication:</w:t>
      </w:r>
      <w:r>
        <w:t xml:space="preserve"> Interventions must intentionally design labor-saving technologies for women, register cooperative memberships and land rights under joint/female titles, and ensure women hold leadership roles in market negotiations.</w:t>
      </w:r>
    </w:p>
    <w:p w14:paraId="5B7071FF" w14:textId="77777777" w:rsidR="00FB019D" w:rsidRDefault="00000000">
      <w:pPr>
        <w:pStyle w:val="Heading3"/>
      </w:pPr>
      <w:r>
        <w:t>3. Addressing Q19: Youth, Digital Innovation, and Local Champions</w:t>
      </w:r>
    </w:p>
    <w:p w14:paraId="5B707200" w14:textId="77777777" w:rsidR="00FB019D" w:rsidRDefault="00000000">
      <w:pPr>
        <w:numPr>
          <w:ilvl w:val="0"/>
          <w:numId w:val="123"/>
        </w:numPr>
        <w:pBdr>
          <w:top w:val="nil"/>
          <w:left w:val="nil"/>
          <w:bottom w:val="nil"/>
          <w:right w:val="nil"/>
          <w:between w:val="nil"/>
        </w:pBdr>
        <w:spacing w:before="0" w:after="0"/>
        <w:ind w:right="0"/>
      </w:pPr>
      <w:r>
        <w:rPr>
          <w:b/>
          <w:bCs/>
        </w:rPr>
        <w:t>Your Point:</w:t>
      </w:r>
      <w:r>
        <w:t xml:space="preserve"> Rural youth are motivated by innovation and systemic change. We must leverage this by empowering "youth champions" to anchor scaling.</w:t>
      </w:r>
    </w:p>
    <w:p w14:paraId="5B707201" w14:textId="77777777" w:rsidR="00FB019D" w:rsidRDefault="00000000">
      <w:pPr>
        <w:numPr>
          <w:ilvl w:val="0"/>
          <w:numId w:val="123"/>
        </w:numPr>
        <w:pBdr>
          <w:top w:val="nil"/>
          <w:left w:val="nil"/>
          <w:bottom w:val="nil"/>
          <w:right w:val="nil"/>
          <w:between w:val="nil"/>
        </w:pBdr>
        <w:spacing w:before="0" w:after="0"/>
        <w:ind w:right="0"/>
      </w:pPr>
      <w:r>
        <w:rPr>
          <w:b/>
          <w:bCs/>
        </w:rPr>
        <w:t>Critique &amp; Systems-Thinking Realignment:</w:t>
      </w:r>
      <w:r>
        <w:t xml:space="preserve"> Youth are leaving traditional agriculture across ASEAN not because they dislike farming itself, but because traditional smallholder farming offers </w:t>
      </w:r>
      <w:r>
        <w:rPr>
          <w:b/>
          <w:bCs/>
        </w:rPr>
        <w:t>low returns, high physical labor, social stigma, and poor quality of life.</w:t>
      </w:r>
      <w:r>
        <w:rPr>
          <w:rFonts w:ascii="Arial" w:eastAsia="Arial" w:hAnsi="Arial" w:cs="Arial"/>
          <w:color w:val="000000"/>
        </w:rPr>
        <w:br/>
      </w:r>
      <w:r>
        <w:t>To turn rural youth into active drivers of system transformation, intervention strategies must leverage three concrete mechanisms:</w:t>
      </w:r>
    </w:p>
    <w:p w14:paraId="5B707202" w14:textId="77777777" w:rsidR="00FB019D" w:rsidRDefault="00000000">
      <w:pPr>
        <w:numPr>
          <w:ilvl w:val="1"/>
          <w:numId w:val="124"/>
        </w:numPr>
        <w:pBdr>
          <w:top w:val="nil"/>
          <w:left w:val="nil"/>
          <w:bottom w:val="nil"/>
          <w:right w:val="nil"/>
          <w:between w:val="nil"/>
        </w:pBdr>
        <w:spacing w:before="0" w:after="0"/>
        <w:ind w:right="0"/>
      </w:pPr>
      <w:r>
        <w:rPr>
          <w:b/>
          <w:bCs/>
        </w:rPr>
        <w:t>From "Farming" to "Agri-Tech &amp; Agri-Business Services":</w:t>
      </w:r>
      <w:r>
        <w:t xml:space="preserve"> Youth rarely want to engage in manual hoeing and weeding. However, they excel as </w:t>
      </w:r>
      <w:r>
        <w:rPr>
          <w:b/>
          <w:bCs/>
        </w:rPr>
        <w:t>agri-service entrepreneurs</w:t>
      </w:r>
      <w:r>
        <w:t>—running drone-spraying services for bio-pesticides, operating digital cooperative traceability apps, managing bio-fertilizer production hubs, or leading direct-to-consumer e-commerce channels (e.g., TikTok Shop / Zalo-based cooperative stores).</w:t>
      </w:r>
    </w:p>
    <w:p w14:paraId="5B707203" w14:textId="77777777" w:rsidR="00FB019D" w:rsidRDefault="00000000">
      <w:pPr>
        <w:numPr>
          <w:ilvl w:val="1"/>
          <w:numId w:val="124"/>
        </w:numPr>
        <w:pBdr>
          <w:top w:val="nil"/>
          <w:left w:val="nil"/>
          <w:bottom w:val="nil"/>
          <w:right w:val="nil"/>
          <w:between w:val="nil"/>
        </w:pBdr>
        <w:spacing w:before="0" w:after="0"/>
        <w:ind w:right="0"/>
      </w:pPr>
      <w:r>
        <w:rPr>
          <w:b/>
          <w:bCs/>
        </w:rPr>
        <w:t>Empowering "Scale Champions" via Incubators:</w:t>
      </w:r>
      <w:r>
        <w:t xml:space="preserve"> Rather than training thousands of youth in basic farming, donor and state programs should fund regional </w:t>
      </w:r>
      <w:r>
        <w:rPr>
          <w:b/>
          <w:bCs/>
        </w:rPr>
        <w:t>green agri-business incubators</w:t>
      </w:r>
      <w:r>
        <w:t>. These incubators provide seed capital, mentorship, and legal assistance to young cooperative managers and rural entrepreneurs who build local aggregation and processing networks.</w:t>
      </w:r>
    </w:p>
    <w:p w14:paraId="5B707204" w14:textId="77777777" w:rsidR="00FB019D" w:rsidRDefault="00000000">
      <w:pPr>
        <w:numPr>
          <w:ilvl w:val="1"/>
          <w:numId w:val="124"/>
        </w:numPr>
        <w:pBdr>
          <w:top w:val="nil"/>
          <w:left w:val="nil"/>
          <w:bottom w:val="nil"/>
          <w:right w:val="nil"/>
          <w:between w:val="nil"/>
        </w:pBdr>
        <w:spacing w:before="0" w:after="0"/>
        <w:ind w:right="0"/>
      </w:pPr>
      <w:r>
        <w:rPr>
          <w:b/>
          <w:bCs/>
        </w:rPr>
        <w:t>Social Status &amp; Prestige Transformation:</w:t>
      </w:r>
      <w:r>
        <w:t xml:space="preserve"> Repositioning sustainable agriculture from an "occupational choice of last resort" to a modern, high-tech, climate-resilient profession. Champion networks connect young rural innovators with urban markets, granting them social visibility and leadership positions in local governance.</w:t>
      </w:r>
    </w:p>
    <w:p w14:paraId="5B707205" w14:textId="77777777" w:rsidR="00FB019D" w:rsidRDefault="00000000">
      <w:pPr>
        <w:pStyle w:val="Heading3"/>
      </w:pPr>
      <w:r>
        <w:t>Summary of Progress (Q17–Q19)</w:t>
      </w:r>
    </w:p>
    <w:p w14:paraId="5B707206" w14:textId="77777777" w:rsidR="00FB019D" w:rsidRDefault="00FB019D">
      <w:pPr>
        <w:pBdr>
          <w:top w:val="nil"/>
          <w:left w:val="nil"/>
          <w:bottom w:val="nil"/>
          <w:right w:val="nil"/>
          <w:between w:val="nil"/>
        </w:pBdr>
        <w:spacing w:before="0" w:after="320"/>
        <w:ind w:left="0" w:right="0"/>
        <w:rPr>
          <w:b/>
          <w:bCs/>
          <w:sz w:val="28"/>
          <w:szCs w:val="28"/>
        </w:rPr>
      </w:pPr>
    </w:p>
    <w:tbl>
      <w:tblPr>
        <w:tblStyle w:val="a0"/>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3120"/>
        <w:gridCol w:w="3120"/>
        <w:gridCol w:w="3120"/>
      </w:tblGrid>
      <w:tr w:rsidR="00FB019D" w14:paraId="5B70720A" w14:textId="77777777">
        <w:trPr>
          <w:tblHeader/>
        </w:trPr>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07" w14:textId="77777777" w:rsidR="00FB019D" w:rsidRDefault="00000000">
            <w:pPr>
              <w:pBdr>
                <w:top w:val="nil"/>
                <w:left w:val="nil"/>
                <w:bottom w:val="nil"/>
                <w:right w:val="nil"/>
                <w:between w:val="nil"/>
              </w:pBdr>
              <w:spacing w:before="180" w:after="180"/>
              <w:ind w:left="0" w:right="0"/>
              <w:rPr>
                <w:b/>
                <w:bCs/>
              </w:rPr>
            </w:pPr>
            <w:r>
              <w:rPr>
                <w:b/>
                <w:bCs/>
              </w:rPr>
              <w:t>Question</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08" w14:textId="77777777" w:rsidR="00FB019D" w:rsidRDefault="00000000">
            <w:pPr>
              <w:pBdr>
                <w:top w:val="nil"/>
                <w:left w:val="nil"/>
                <w:bottom w:val="nil"/>
                <w:right w:val="nil"/>
                <w:between w:val="nil"/>
              </w:pBdr>
              <w:spacing w:before="180" w:after="180"/>
              <w:ind w:left="0" w:right="0"/>
              <w:rPr>
                <w:b/>
                <w:bCs/>
              </w:rPr>
            </w:pPr>
            <w:r>
              <w:rPr>
                <w:b/>
                <w:bCs/>
              </w:rPr>
              <w:t>Core Dilemma</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09" w14:textId="77777777" w:rsidR="00FB019D" w:rsidRDefault="00000000">
            <w:pPr>
              <w:pBdr>
                <w:top w:val="nil"/>
                <w:left w:val="nil"/>
                <w:bottom w:val="nil"/>
                <w:right w:val="nil"/>
                <w:between w:val="nil"/>
              </w:pBdr>
              <w:spacing w:before="180" w:after="180"/>
              <w:ind w:left="0" w:right="0"/>
              <w:rPr>
                <w:b/>
                <w:bCs/>
              </w:rPr>
            </w:pPr>
            <w:r>
              <w:rPr>
                <w:b/>
                <w:bCs/>
              </w:rPr>
              <w:t>Evidence-Based Systemic Solution</w:t>
            </w:r>
          </w:p>
        </w:tc>
      </w:tr>
      <w:tr w:rsidR="00FB019D" w14:paraId="5B70720E"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0B" w14:textId="77777777" w:rsidR="00FB019D" w:rsidRDefault="00000000">
            <w:pPr>
              <w:pBdr>
                <w:top w:val="nil"/>
                <w:left w:val="nil"/>
                <w:bottom w:val="nil"/>
                <w:right w:val="nil"/>
                <w:between w:val="nil"/>
              </w:pBdr>
              <w:spacing w:before="120" w:after="120"/>
              <w:ind w:left="0" w:right="0"/>
              <w:rPr>
                <w:b/>
                <w:bCs/>
              </w:rPr>
            </w:pPr>
            <w:r>
              <w:rPr>
                <w:b/>
                <w:bCs/>
              </w:rPr>
              <w:t>Q17: Subnational Taskforces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0C" w14:textId="77777777" w:rsidR="00FB019D" w:rsidRDefault="00000000">
            <w:pPr>
              <w:pBdr>
                <w:top w:val="nil"/>
                <w:left w:val="nil"/>
                <w:bottom w:val="nil"/>
                <w:right w:val="nil"/>
                <w:between w:val="nil"/>
              </w:pBdr>
              <w:spacing w:before="120" w:after="120"/>
              <w:ind w:left="0" w:right="0"/>
            </w:pPr>
            <w:r>
              <w:t>Administrative inertia &amp; lack of power.</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0D" w14:textId="77777777" w:rsidR="00FB019D" w:rsidRDefault="00000000">
            <w:pPr>
              <w:pBdr>
                <w:top w:val="nil"/>
                <w:left w:val="nil"/>
                <w:bottom w:val="nil"/>
                <w:right w:val="nil"/>
                <w:between w:val="nil"/>
              </w:pBdr>
              <w:spacing w:before="120" w:after="120"/>
              <w:ind w:left="0" w:right="0"/>
            </w:pPr>
            <w:r>
              <w:t xml:space="preserve">Embed taskforces into statutory provincial decrees, map activities into SEDP line budgets, and enforce shared </w:t>
            </w:r>
            <w:r>
              <w:lastRenderedPageBreak/>
              <w:t>inter-ministerial KPIs.</w:t>
            </w:r>
          </w:p>
        </w:tc>
      </w:tr>
      <w:tr w:rsidR="00FB019D" w14:paraId="5B707212"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0F" w14:textId="77777777" w:rsidR="00FB019D" w:rsidRDefault="00000000">
            <w:pPr>
              <w:pBdr>
                <w:top w:val="nil"/>
                <w:left w:val="nil"/>
                <w:bottom w:val="nil"/>
                <w:right w:val="nil"/>
                <w:between w:val="nil"/>
              </w:pBdr>
              <w:spacing w:before="120" w:after="120"/>
              <w:ind w:left="0" w:right="0"/>
              <w:rPr>
                <w:b/>
                <w:bCs/>
              </w:rPr>
            </w:pPr>
            <w:r>
              <w:rPr>
                <w:b/>
                <w:bCs/>
              </w:rPr>
              <w:lastRenderedPageBreak/>
              <w:t>Q18: Gender Dynamics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10" w14:textId="77777777" w:rsidR="00FB019D" w:rsidRDefault="00000000">
            <w:pPr>
              <w:pBdr>
                <w:top w:val="nil"/>
                <w:left w:val="nil"/>
                <w:bottom w:val="nil"/>
                <w:right w:val="nil"/>
                <w:between w:val="nil"/>
              </w:pBdr>
              <w:spacing w:before="120" w:after="120"/>
              <w:ind w:left="0" w:right="0"/>
            </w:pPr>
            <w:r>
              <w:t>Unpaid labor burden &amp; market displacement.</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11" w14:textId="77777777" w:rsidR="00FB019D" w:rsidRDefault="00000000">
            <w:pPr>
              <w:pBdr>
                <w:top w:val="nil"/>
                <w:left w:val="nil"/>
                <w:bottom w:val="nil"/>
                <w:right w:val="nil"/>
                <w:between w:val="nil"/>
              </w:pBdr>
              <w:spacing w:before="120" w:after="120"/>
              <w:ind w:left="0" w:right="0"/>
            </w:pPr>
            <w:r>
              <w:t>Introduce labor-saving bio-tools, mandate joint land/coop titling, and protect female leadership as value chains formalize.</w:t>
            </w:r>
          </w:p>
        </w:tc>
      </w:tr>
      <w:tr w:rsidR="00FB019D" w14:paraId="5B707216"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13" w14:textId="77777777" w:rsidR="00FB019D" w:rsidRDefault="00000000">
            <w:pPr>
              <w:pBdr>
                <w:top w:val="nil"/>
                <w:left w:val="nil"/>
                <w:bottom w:val="nil"/>
                <w:right w:val="nil"/>
                <w:between w:val="nil"/>
              </w:pBdr>
              <w:spacing w:before="120" w:after="120"/>
              <w:ind w:left="0" w:right="0"/>
              <w:rPr>
                <w:b/>
                <w:bCs/>
              </w:rPr>
            </w:pPr>
            <w:r>
              <w:rPr>
                <w:b/>
                <w:bCs/>
              </w:rPr>
              <w:t>Q19: Youth &amp; Demographics</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14" w14:textId="77777777" w:rsidR="00FB019D" w:rsidRDefault="00000000">
            <w:pPr>
              <w:pBdr>
                <w:top w:val="nil"/>
                <w:left w:val="nil"/>
                <w:bottom w:val="nil"/>
                <w:right w:val="nil"/>
                <w:between w:val="nil"/>
              </w:pBdr>
              <w:spacing w:before="120" w:after="120"/>
              <w:ind w:left="0" w:right="0"/>
            </w:pPr>
            <w:r>
              <w:t>Rural out-migration &amp; aging farmer base.</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15" w14:textId="77777777" w:rsidR="00FB019D" w:rsidRDefault="00000000">
            <w:pPr>
              <w:pBdr>
                <w:top w:val="nil"/>
                <w:left w:val="nil"/>
                <w:bottom w:val="nil"/>
                <w:right w:val="nil"/>
                <w:between w:val="nil"/>
              </w:pBdr>
              <w:spacing w:before="120" w:after="120"/>
              <w:ind w:left="0" w:right="0"/>
            </w:pPr>
            <w:r>
              <w:t>Position youth as digital/agri-service entrepreneurs (bio-hubs, e-commerce, digital verification) via local incubator programs.</w:t>
            </w:r>
          </w:p>
        </w:tc>
      </w:tr>
    </w:tbl>
    <w:p w14:paraId="5B707217" w14:textId="77777777" w:rsidR="00FB019D" w:rsidRDefault="00000000">
      <w:pPr>
        <w:pBdr>
          <w:top w:val="nil"/>
          <w:left w:val="nil"/>
          <w:bottom w:val="nil"/>
          <w:right w:val="nil"/>
          <w:between w:val="nil"/>
        </w:pBdr>
        <w:spacing w:before="0" w:after="320"/>
        <w:ind w:left="0" w:right="0"/>
      </w:pPr>
      <w:r>
        <w:t xml:space="preserve">Whenever you are ready, let's explore </w:t>
      </w:r>
      <w:r>
        <w:rPr>
          <w:b/>
          <w:bCs/>
        </w:rPr>
        <w:t>Questions Q20 to Q25</w:t>
      </w:r>
      <w:r>
        <w:t xml:space="preserve"> (covering carbon commodification, donor dependency, corporate co-optation, land tenure, cold-chain logistics, and non-market stewardship)!</w:t>
      </w:r>
    </w:p>
    <w:p w14:paraId="5B707218" w14:textId="77777777" w:rsidR="00FB019D" w:rsidRDefault="00000000">
      <w:pPr>
        <w:pBdr>
          <w:top w:val="nil"/>
          <w:left w:val="nil"/>
          <w:bottom w:val="nil"/>
          <w:right w:val="nil"/>
          <w:between w:val="nil"/>
        </w:pBdr>
        <w:spacing w:before="0" w:after="0"/>
        <w:ind w:left="0" w:right="0"/>
      </w:pPr>
      <w:r>
        <w:pict w14:anchorId="5B7072F6">
          <v:rect id="_x0000_i1050" style="width:0;height:1.5pt" o:hralign="center" o:hrstd="t" o:hr="t" fillcolor="#a0a0a0" stroked="f"/>
        </w:pict>
      </w:r>
    </w:p>
    <w:p w14:paraId="5B707219"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Q20. Tough question. We should be clear on two things: (I) is regenerative "depoliticized"? I don't think so. It requires lots of political works to make it happen. (ii) Is commodifying natural ecosystems risky? I think it has some risks, but also brings benefits. Q21: This question has been addressed in previous questions actually. You can list some mechanisms if you like. Q22. We have addressed that, right?</w:t>
      </w:r>
    </w:p>
    <w:p w14:paraId="5B70721A"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21B" w14:textId="77777777" w:rsidR="00FB019D" w:rsidRDefault="00000000">
      <w:pPr>
        <w:numPr>
          <w:ilvl w:val="0"/>
          <w:numId w:val="125"/>
        </w:numPr>
        <w:pBdr>
          <w:top w:val="nil"/>
          <w:left w:val="nil"/>
          <w:bottom w:val="nil"/>
          <w:right w:val="nil"/>
          <w:between w:val="nil"/>
        </w:pBdr>
        <w:spacing w:before="0" w:after="0"/>
        <w:ind w:right="0"/>
      </w:pPr>
      <w:r>
        <w:rPr>
          <w:i/>
          <w:iCs/>
        </w:rPr>
        <w:t>Q20:</w:t>
      </w:r>
      <w:r>
        <w:t xml:space="preserve"> "To what extent does the depoliticized, carbon-centric framing of 'regenerative agriculture' risk commodifying natural ecosystems compared to comprehensive, socially transformative agroecological movements?"</w:t>
      </w:r>
    </w:p>
    <w:p w14:paraId="5B70721C" w14:textId="77777777" w:rsidR="00FB019D" w:rsidRDefault="00000000">
      <w:pPr>
        <w:numPr>
          <w:ilvl w:val="0"/>
          <w:numId w:val="125"/>
        </w:numPr>
        <w:pBdr>
          <w:top w:val="nil"/>
          <w:left w:val="nil"/>
          <w:bottom w:val="nil"/>
          <w:right w:val="nil"/>
          <w:between w:val="nil"/>
        </w:pBdr>
        <w:spacing w:before="0" w:after="0"/>
        <w:ind w:right="0"/>
      </w:pPr>
      <w:r>
        <w:rPr>
          <w:i/>
          <w:iCs/>
        </w:rPr>
        <w:t>Q21:</w:t>
      </w:r>
      <w:r>
        <w:t xml:space="preserve"> "How can international donor-funded agricultural programs avoid creating 'subsidy dependencies' or ephemeral success stories that collapse immediately after project funding cycles end?"</w:t>
      </w:r>
    </w:p>
    <w:p w14:paraId="5B70721D" w14:textId="77777777" w:rsidR="00FB019D" w:rsidRDefault="00000000">
      <w:pPr>
        <w:numPr>
          <w:ilvl w:val="0"/>
          <w:numId w:val="125"/>
        </w:numPr>
        <w:pBdr>
          <w:top w:val="nil"/>
          <w:left w:val="nil"/>
          <w:bottom w:val="nil"/>
          <w:right w:val="nil"/>
          <w:between w:val="nil"/>
        </w:pBdr>
        <w:spacing w:before="0" w:after="0"/>
        <w:ind w:right="0"/>
      </w:pPr>
      <w:r>
        <w:rPr>
          <w:i/>
          <w:iCs/>
        </w:rPr>
        <w:t>Q22:</w:t>
      </w:r>
      <w:r>
        <w:t xml:space="preserve"> "What structural mechanisms can safeguard localized Participatory Guarantee Systems (PGS) and smallholder cooperatives from corporate co-optation as large agri-food conglomerates enter the 'green' market space?"</w:t>
      </w:r>
    </w:p>
    <w:p w14:paraId="5B70721E" w14:textId="77777777" w:rsidR="00FB019D" w:rsidRDefault="00000000">
      <w:pPr>
        <w:pStyle w:val="Heading3"/>
        <w:spacing w:after="320"/>
      </w:pPr>
      <w:r>
        <w:t>Expert Critique &amp; Systems-Thinking Analysis</w:t>
      </w:r>
    </w:p>
    <w:p w14:paraId="5B70721F" w14:textId="77777777" w:rsidR="00FB019D" w:rsidRDefault="00000000">
      <w:pPr>
        <w:pBdr>
          <w:top w:val="nil"/>
          <w:left w:val="nil"/>
          <w:bottom w:val="nil"/>
          <w:right w:val="nil"/>
          <w:between w:val="nil"/>
        </w:pBdr>
        <w:spacing w:before="0" w:after="320"/>
        <w:ind w:left="0" w:right="0"/>
      </w:pPr>
      <w:r>
        <w:t xml:space="preserve">Your nuanced stance on </w:t>
      </w:r>
      <w:r>
        <w:rPr>
          <w:b/>
          <w:bCs/>
        </w:rPr>
        <w:t>Q20</w:t>
      </w:r>
      <w:r>
        <w:t xml:space="preserve">, combined with your observations on </w:t>
      </w:r>
      <w:r>
        <w:rPr>
          <w:b/>
          <w:bCs/>
        </w:rPr>
        <w:t>Q21 and Q22</w:t>
      </w:r>
      <w:r>
        <w:t>, hits right at the political economy of agricultural transitions. Let me unpack the theoretical and empirical literature around your points.</w:t>
      </w:r>
    </w:p>
    <w:p w14:paraId="5B707220" w14:textId="77777777" w:rsidR="00FB019D" w:rsidRDefault="00000000">
      <w:pPr>
        <w:pStyle w:val="Heading3"/>
        <w:spacing w:before="0" w:after="320"/>
      </w:pPr>
      <w:r>
        <w:t xml:space="preserve">1. Addressing Q20: Politicization, Carbon Markets, and Ecosystem </w:t>
      </w:r>
      <w:r>
        <w:lastRenderedPageBreak/>
        <w:t>Commodification</w:t>
      </w:r>
    </w:p>
    <w:p w14:paraId="5B707221" w14:textId="77777777" w:rsidR="00FB019D" w:rsidRDefault="00000000">
      <w:pPr>
        <w:pBdr>
          <w:top w:val="nil"/>
          <w:left w:val="nil"/>
          <w:bottom w:val="nil"/>
          <w:right w:val="nil"/>
          <w:between w:val="nil"/>
        </w:pBdr>
        <w:spacing w:before="0" w:after="320"/>
        <w:ind w:left="0" w:right="0"/>
      </w:pPr>
      <w:r>
        <w:t>Your perspective brings much-needed pragmatism to a debate that often gets trapped in academic binary oppositions (e.g., "pure corporate greenwashing" vs. "grassroots agrarian revolution").</w:t>
      </w:r>
    </w:p>
    <w:p w14:paraId="5B707222" w14:textId="77777777" w:rsidR="00FB019D" w:rsidRDefault="00000000">
      <w:pPr>
        <w:pStyle w:val="Heading4"/>
        <w:spacing w:before="0"/>
      </w:pPr>
      <w:r>
        <w:t>(i) Is Regenerative Agriculture Truly "Depoliticized"?</w:t>
      </w:r>
    </w:p>
    <w:p w14:paraId="5B707223" w14:textId="77777777" w:rsidR="00FB019D" w:rsidRDefault="00000000">
      <w:pPr>
        <w:numPr>
          <w:ilvl w:val="0"/>
          <w:numId w:val="126"/>
        </w:numPr>
        <w:pBdr>
          <w:top w:val="nil"/>
          <w:left w:val="nil"/>
          <w:bottom w:val="nil"/>
          <w:right w:val="nil"/>
          <w:between w:val="nil"/>
        </w:pBdr>
        <w:spacing w:before="0" w:after="0"/>
        <w:ind w:right="0"/>
      </w:pPr>
      <w:r>
        <w:rPr>
          <w:b/>
          <w:bCs/>
        </w:rPr>
        <w:t>The Critique:</w:t>
      </w:r>
      <w:r>
        <w:t xml:space="preserve"> Critical agrarian scholars (e.g., Tittonell et al., 2022; Giraldo &amp; Rosset) argue that mainstream Western corporate discourse strips regenerative agriculture of its political radicalism by defining it purely as a set of technical agronomic practices (no-till, cover crops, soil carbon storage) while completely ignoring land reform, labor rights, and structural power asymmetries.</w:t>
      </w:r>
    </w:p>
    <w:p w14:paraId="5B707224" w14:textId="77777777" w:rsidR="00FB019D" w:rsidRDefault="00000000">
      <w:pPr>
        <w:numPr>
          <w:ilvl w:val="0"/>
          <w:numId w:val="126"/>
        </w:numPr>
        <w:pBdr>
          <w:top w:val="nil"/>
          <w:left w:val="nil"/>
          <w:bottom w:val="nil"/>
          <w:right w:val="nil"/>
          <w:between w:val="nil"/>
        </w:pBdr>
        <w:spacing w:before="0" w:after="0"/>
        <w:ind w:right="0"/>
      </w:pPr>
      <w:r>
        <w:rPr>
          <w:b/>
          <w:bCs/>
        </w:rPr>
        <w:t>Your Realist View (And Why It Holds):</w:t>
      </w:r>
      <w:r>
        <w:t xml:space="preserve"> In actual implementation, </w:t>
      </w:r>
      <w:r>
        <w:rPr>
          <w:b/>
          <w:bCs/>
        </w:rPr>
        <w:t>regenerative agriculture is inherently political.</w:t>
      </w:r>
      <w:r>
        <w:t xml:space="preserve"> Negotiating land access, shifting input subsidies away from chemical conglomerates, reallocating state irrigation budgets, and establishing cooperative bargaining power require intense political bargaining, institutional lobbying, and counter-governance at both subnational and national levels. It cannot happen in a political vacuum.</w:t>
      </w:r>
    </w:p>
    <w:p w14:paraId="5B707225" w14:textId="77777777" w:rsidR="00FB019D" w:rsidRDefault="00000000">
      <w:pPr>
        <w:pStyle w:val="Heading4"/>
        <w:spacing w:after="320"/>
      </w:pPr>
      <w:r>
        <w:t>(ii) The Risks vs. Benefits of Ecosystem Commodification</w:t>
      </w:r>
    </w:p>
    <w:p w14:paraId="5B707226" w14:textId="77777777" w:rsidR="00FB019D" w:rsidRDefault="00000000">
      <w:pPr>
        <w:pBdr>
          <w:top w:val="nil"/>
          <w:left w:val="nil"/>
          <w:bottom w:val="nil"/>
          <w:right w:val="nil"/>
          <w:between w:val="nil"/>
        </w:pBdr>
        <w:spacing w:before="0" w:after="320"/>
        <w:ind w:left="0" w:right="0"/>
      </w:pPr>
      <w:r>
        <w:t>As you noted, financializing natural ecosystems (e.g., soil carbon credits, biodiversity offsets, ecosystem service payments) carries clear trade-offs:</w:t>
      </w:r>
    </w:p>
    <w:p w14:paraId="5B707227" w14:textId="77777777" w:rsidR="00FB019D" w:rsidRDefault="00000000">
      <w:pPr>
        <w:numPr>
          <w:ilvl w:val="0"/>
          <w:numId w:val="127"/>
        </w:numPr>
        <w:pBdr>
          <w:top w:val="nil"/>
          <w:left w:val="nil"/>
          <w:bottom w:val="nil"/>
          <w:right w:val="nil"/>
          <w:between w:val="nil"/>
        </w:pBdr>
        <w:spacing w:before="0" w:after="0"/>
        <w:ind w:right="0"/>
      </w:pPr>
      <w:r>
        <w:rPr>
          <w:b/>
          <w:bCs/>
        </w:rPr>
        <w:t>The Risks (Why Caution is Needed):</w:t>
      </w:r>
    </w:p>
    <w:p w14:paraId="5B707228" w14:textId="77777777" w:rsidR="00FB019D" w:rsidRDefault="00000000">
      <w:pPr>
        <w:numPr>
          <w:ilvl w:val="1"/>
          <w:numId w:val="128"/>
        </w:numPr>
        <w:pBdr>
          <w:top w:val="nil"/>
          <w:left w:val="nil"/>
          <w:bottom w:val="nil"/>
          <w:right w:val="nil"/>
          <w:between w:val="nil"/>
        </w:pBdr>
        <w:spacing w:before="0" w:after="0"/>
        <w:ind w:right="0"/>
      </w:pPr>
      <w:r>
        <w:rPr>
          <w:i/>
          <w:iCs/>
        </w:rPr>
        <w:t>Additionality &amp; Permanence Illusions:</w:t>
      </w:r>
      <w:r>
        <w:t xml:space="preserve"> Carbon in agricultural soils is biologically volatile; a single plow event, severe drought, or change in farm ownership can release sequestered carbon back into the atmosphere, making long-term corporate offset claims dubious.</w:t>
      </w:r>
    </w:p>
    <w:p w14:paraId="5B707229" w14:textId="77777777" w:rsidR="00FB019D" w:rsidRDefault="00000000">
      <w:pPr>
        <w:numPr>
          <w:ilvl w:val="1"/>
          <w:numId w:val="128"/>
        </w:numPr>
        <w:pBdr>
          <w:top w:val="nil"/>
          <w:left w:val="nil"/>
          <w:bottom w:val="nil"/>
          <w:right w:val="nil"/>
          <w:between w:val="nil"/>
        </w:pBdr>
        <w:spacing w:before="0" w:after="0"/>
        <w:ind w:right="0"/>
      </w:pPr>
      <w:r>
        <w:rPr>
          <w:i/>
          <w:iCs/>
        </w:rPr>
        <w:t>The Additionality Penalty:</w:t>
      </w:r>
      <w:r>
        <w:t xml:space="preserve"> Farmers who have been good ecological stewards for decades are often excluded from carbon markets because their practices are not "new" (additionality requirement), while historical polluters get paid to change.</w:t>
      </w:r>
    </w:p>
    <w:p w14:paraId="5B70722A" w14:textId="77777777" w:rsidR="00FB019D" w:rsidRDefault="00000000">
      <w:pPr>
        <w:numPr>
          <w:ilvl w:val="1"/>
          <w:numId w:val="128"/>
        </w:numPr>
        <w:pBdr>
          <w:top w:val="nil"/>
          <w:left w:val="nil"/>
          <w:bottom w:val="nil"/>
          <w:right w:val="nil"/>
          <w:between w:val="nil"/>
        </w:pBdr>
        <w:spacing w:before="0" w:after="0"/>
        <w:ind w:right="0"/>
      </w:pPr>
      <w:r>
        <w:rPr>
          <w:i/>
          <w:iCs/>
        </w:rPr>
        <w:t>Speculative Land Grabs:</w:t>
      </w:r>
      <w:r>
        <w:t xml:space="preserve"> High carbon prices can incentivize external investors to acquire land for carbon projects, driving up land lease values and pricing out smallholders or tenant farmers.</w:t>
      </w:r>
    </w:p>
    <w:p w14:paraId="5B70722B" w14:textId="77777777" w:rsidR="00FB019D" w:rsidRDefault="00000000">
      <w:pPr>
        <w:numPr>
          <w:ilvl w:val="0"/>
          <w:numId w:val="127"/>
        </w:numPr>
        <w:pBdr>
          <w:top w:val="nil"/>
          <w:left w:val="nil"/>
          <w:bottom w:val="nil"/>
          <w:right w:val="nil"/>
          <w:between w:val="nil"/>
        </w:pBdr>
        <w:spacing w:before="0" w:after="0"/>
        <w:ind w:right="0"/>
      </w:pPr>
      <w:r>
        <w:rPr>
          <w:b/>
          <w:bCs/>
        </w:rPr>
        <w:t>The Benefits (Why It Can't Be Dismissed):</w:t>
      </w:r>
    </w:p>
    <w:p w14:paraId="5B70722C" w14:textId="77777777" w:rsidR="00FB019D" w:rsidRDefault="00000000">
      <w:pPr>
        <w:numPr>
          <w:ilvl w:val="1"/>
          <w:numId w:val="129"/>
        </w:numPr>
        <w:pBdr>
          <w:top w:val="nil"/>
          <w:left w:val="nil"/>
          <w:bottom w:val="nil"/>
          <w:right w:val="nil"/>
          <w:between w:val="nil"/>
        </w:pBdr>
        <w:spacing w:before="0" w:after="0"/>
        <w:ind w:right="0"/>
      </w:pPr>
      <w:r>
        <w:rPr>
          <w:i/>
          <w:iCs/>
        </w:rPr>
        <w:t>Unlocking Transition Capital:</w:t>
      </w:r>
      <w:r>
        <w:t xml:space="preserve"> Carbon markets, ESG transition bonds, and payments for ecosystem services (PES) bring massive private capital into agricultural sectors that traditional state aid or public budgets cannot match.</w:t>
      </w:r>
    </w:p>
    <w:p w14:paraId="5B70722D" w14:textId="77777777" w:rsidR="00FB019D" w:rsidRDefault="00000000">
      <w:pPr>
        <w:numPr>
          <w:ilvl w:val="1"/>
          <w:numId w:val="129"/>
        </w:numPr>
        <w:pBdr>
          <w:top w:val="nil"/>
          <w:left w:val="nil"/>
          <w:bottom w:val="nil"/>
          <w:right w:val="nil"/>
          <w:between w:val="nil"/>
        </w:pBdr>
        <w:spacing w:before="0" w:after="0"/>
        <w:ind w:right="0"/>
      </w:pPr>
      <w:r>
        <w:rPr>
          <w:i/>
          <w:iCs/>
        </w:rPr>
        <w:t>Monetizing Non-Market Value:</w:t>
      </w:r>
      <w:r>
        <w:t xml:space="preserve"> Financializing ecosystem services forces conventional markets to price negative externalities (chemical runoff, soil erosion) and reward positive ecological management, providing early income streams to cushion farmers during the multi-year "yield trough."</w:t>
      </w:r>
    </w:p>
    <w:p w14:paraId="5B70722E" w14:textId="77777777" w:rsidR="00FB019D" w:rsidRDefault="00000000">
      <w:pPr>
        <w:pStyle w:val="Heading3"/>
        <w:spacing w:after="320"/>
      </w:pPr>
      <w:r>
        <w:t>2. Addressing Q21: Escaping the Donor Dependency Trap</w:t>
      </w:r>
    </w:p>
    <w:p w14:paraId="5B70722F" w14:textId="77777777" w:rsidR="00FB019D" w:rsidRDefault="00000000">
      <w:pPr>
        <w:pBdr>
          <w:top w:val="nil"/>
          <w:left w:val="nil"/>
          <w:bottom w:val="nil"/>
          <w:right w:val="nil"/>
          <w:between w:val="nil"/>
        </w:pBdr>
        <w:spacing w:before="0" w:after="320"/>
        <w:ind w:left="0" w:right="0"/>
      </w:pPr>
      <w:r>
        <w:t xml:space="preserve">While we touched on this in earlier discussions, synthesizing the structural mechanisms to avoid "ephemeral project success" (where adoption collapses the day donor funding ends) yields </w:t>
      </w:r>
      <w:r>
        <w:rPr>
          <w:b/>
          <w:bCs/>
        </w:rPr>
        <w:t>four concrete institutional exit strategies</w:t>
      </w:r>
      <w:r>
        <w:t>:</w:t>
      </w:r>
    </w:p>
    <w:p w14:paraId="5B707230" w14:textId="77777777" w:rsidR="00FB019D" w:rsidRDefault="00000000">
      <w:pPr>
        <w:numPr>
          <w:ilvl w:val="0"/>
          <w:numId w:val="130"/>
        </w:numPr>
        <w:pBdr>
          <w:top w:val="nil"/>
          <w:left w:val="nil"/>
          <w:bottom w:val="nil"/>
          <w:right w:val="nil"/>
          <w:between w:val="nil"/>
        </w:pBdr>
        <w:spacing w:before="0" w:after="0"/>
        <w:ind w:right="0"/>
      </w:pPr>
      <w:r>
        <w:rPr>
          <w:b/>
          <w:bCs/>
        </w:rPr>
        <w:t>Phased Financial Co-Investment (Matching Grants):</w:t>
      </w:r>
      <w:r>
        <w:t xml:space="preserve"> Moving from 100% grant-funded inputs to a declining co-financing scale (e.g., Year 1: 80% grant / 20% farmer/coop; Year 2: 50/50; Year 3: 20/80; </w:t>
      </w:r>
      <w:r>
        <w:lastRenderedPageBreak/>
        <w:t>Year 4: Commercial viability via cooperative revenues).</w:t>
      </w:r>
    </w:p>
    <w:p w14:paraId="5B707231" w14:textId="77777777" w:rsidR="00FB019D" w:rsidRDefault="00000000">
      <w:pPr>
        <w:numPr>
          <w:ilvl w:val="0"/>
          <w:numId w:val="130"/>
        </w:numPr>
        <w:pBdr>
          <w:top w:val="nil"/>
          <w:left w:val="nil"/>
          <w:bottom w:val="nil"/>
          <w:right w:val="nil"/>
          <w:between w:val="nil"/>
        </w:pBdr>
        <w:spacing w:before="0" w:after="0"/>
        <w:ind w:right="0"/>
      </w:pPr>
      <w:r>
        <w:rPr>
          <w:b/>
          <w:bCs/>
        </w:rPr>
        <w:t>Local Capacity &amp; Service-Hub Business Models:</w:t>
      </w:r>
      <w:r>
        <w:t xml:space="preserve"> Instead of paying external consultants or giving away free bio-inputs, donor funds should capitalize </w:t>
      </w:r>
      <w:r>
        <w:rPr>
          <w:b/>
          <w:bCs/>
        </w:rPr>
        <w:t>cooperative-owned bio-input production hubs and local youth agri-service enterprises</w:t>
      </w:r>
      <w:r>
        <w:t>. Once these hubs operate as self-sustaining local businesses, technical advice and bio-inputs remain available locally after the project ends.</w:t>
      </w:r>
    </w:p>
    <w:p w14:paraId="5B707232" w14:textId="77777777" w:rsidR="00FB019D" w:rsidRDefault="00000000">
      <w:pPr>
        <w:numPr>
          <w:ilvl w:val="0"/>
          <w:numId w:val="130"/>
        </w:numPr>
        <w:pBdr>
          <w:top w:val="nil"/>
          <w:left w:val="nil"/>
          <w:bottom w:val="nil"/>
          <w:right w:val="nil"/>
          <w:between w:val="nil"/>
        </w:pBdr>
        <w:spacing w:before="0" w:after="0"/>
        <w:ind w:right="0"/>
      </w:pPr>
      <w:r>
        <w:rPr>
          <w:b/>
          <w:bCs/>
        </w:rPr>
        <w:t>Public Policy Integration (Institutional Hand-Over):</w:t>
      </w:r>
      <w:r>
        <w:t xml:space="preserve"> Design project interventions so that verification (PGS) or extension activities are formally handed over to municipal extension budgets or provincial implementations plans (</w:t>
      </w:r>
      <w:r>
        <w:rPr>
          <w:i/>
          <w:iCs/>
        </w:rPr>
        <w:t>SEDP</w:t>
      </w:r>
      <w:r>
        <w:t>) before the final project year.</w:t>
      </w:r>
    </w:p>
    <w:p w14:paraId="5B707233" w14:textId="77777777" w:rsidR="00FB019D" w:rsidRDefault="00000000">
      <w:pPr>
        <w:numPr>
          <w:ilvl w:val="0"/>
          <w:numId w:val="130"/>
        </w:numPr>
        <w:pBdr>
          <w:top w:val="nil"/>
          <w:left w:val="nil"/>
          <w:bottom w:val="nil"/>
          <w:right w:val="nil"/>
          <w:between w:val="nil"/>
        </w:pBdr>
        <w:spacing w:before="0" w:after="0"/>
        <w:ind w:right="0"/>
      </w:pPr>
      <w:r>
        <w:rPr>
          <w:b/>
          <w:bCs/>
        </w:rPr>
        <w:t>Contractual Off-Take Integration:</w:t>
      </w:r>
      <w:r>
        <w:t xml:space="preserve"> Tying donor support directly to commercial or public off-take agreements (such as school feeding programs or long-term private supply contracts), ensuring that market demand sustains production once donor subsidies dry up.</w:t>
      </w:r>
    </w:p>
    <w:p w14:paraId="5B707234" w14:textId="77777777" w:rsidR="00FB019D" w:rsidRDefault="00000000">
      <w:pPr>
        <w:pStyle w:val="Heading3"/>
        <w:spacing w:after="320"/>
      </w:pPr>
      <w:r>
        <w:t>3. Addressing Q22: Safeguarding Cooperatives &amp; PGS from Corporate Co-Optation</w:t>
      </w:r>
    </w:p>
    <w:p w14:paraId="5B707235" w14:textId="77777777" w:rsidR="00FB019D" w:rsidRDefault="00000000">
      <w:pPr>
        <w:pBdr>
          <w:top w:val="nil"/>
          <w:left w:val="nil"/>
          <w:bottom w:val="nil"/>
          <w:right w:val="nil"/>
          <w:between w:val="nil"/>
        </w:pBdr>
        <w:spacing w:before="0" w:after="320"/>
        <w:ind w:left="0" w:right="0"/>
      </w:pPr>
      <w:r>
        <w:t xml:space="preserve">To prevent large agri-food conglomerates from diluting standards, "greenwashing" corporate brands, or converting community PGS into top-down contract farming, the literature emphasizes </w:t>
      </w:r>
      <w:r>
        <w:rPr>
          <w:b/>
          <w:bCs/>
        </w:rPr>
        <w:t>three protective safeguards</w:t>
      </w:r>
      <w:r>
        <w:t>:</w:t>
      </w:r>
    </w:p>
    <w:p w14:paraId="5B707236" w14:textId="77777777" w:rsidR="00FB019D" w:rsidRDefault="00000000">
      <w:pPr>
        <w:numPr>
          <w:ilvl w:val="0"/>
          <w:numId w:val="131"/>
        </w:numPr>
        <w:pBdr>
          <w:top w:val="nil"/>
          <w:left w:val="nil"/>
          <w:bottom w:val="nil"/>
          <w:right w:val="nil"/>
          <w:between w:val="nil"/>
        </w:pBdr>
        <w:spacing w:before="0" w:after="0"/>
        <w:ind w:right="0"/>
      </w:pPr>
      <w:r>
        <w:rPr>
          <w:b/>
          <w:bCs/>
        </w:rPr>
        <w:t>Statutory Governance Protection for PGS:</w:t>
      </w:r>
      <w:r>
        <w:t xml:space="preserve"> Legally enshrining the definition and autonomy of Participatory Guarantee Systems within national food safety or organic laws, preventing private corporations from re-labeling conventional goods as "PGS-certified" without community oversight.</w:t>
      </w:r>
    </w:p>
    <w:p w14:paraId="5B707237" w14:textId="77777777" w:rsidR="00FB019D" w:rsidRDefault="00000000">
      <w:pPr>
        <w:numPr>
          <w:ilvl w:val="0"/>
          <w:numId w:val="131"/>
        </w:numPr>
        <w:pBdr>
          <w:top w:val="nil"/>
          <w:left w:val="nil"/>
          <w:bottom w:val="nil"/>
          <w:right w:val="nil"/>
          <w:between w:val="nil"/>
        </w:pBdr>
        <w:spacing w:before="0" w:after="0"/>
        <w:ind w:right="0"/>
      </w:pPr>
      <w:r>
        <w:rPr>
          <w:b/>
          <w:bCs/>
        </w:rPr>
        <w:t>Cooperative Legal Autonomy &amp; Asset Ownership:</w:t>
      </w:r>
      <w:r>
        <w:t xml:space="preserve"> Protecting local cooperatives by maintaining collective ownership of key processing equipment, trademarks, and local brand registries. When entering joint ventures with corporate buyers, cooperatives must retain a minimum 51% controlling stake in post-harvest aggregation infrastructure.</w:t>
      </w:r>
    </w:p>
    <w:p w14:paraId="5B707238" w14:textId="77777777" w:rsidR="00FB019D" w:rsidRDefault="00000000">
      <w:pPr>
        <w:numPr>
          <w:ilvl w:val="0"/>
          <w:numId w:val="131"/>
        </w:numPr>
        <w:pBdr>
          <w:top w:val="nil"/>
          <w:left w:val="nil"/>
          <w:bottom w:val="nil"/>
          <w:right w:val="nil"/>
          <w:between w:val="nil"/>
        </w:pBdr>
        <w:spacing w:before="0" w:after="0"/>
        <w:ind w:right="0"/>
      </w:pPr>
      <w:r>
        <w:rPr>
          <w:b/>
          <w:bCs/>
        </w:rPr>
        <w:t>Dual-Track Market Governance:</w:t>
      </w:r>
      <w:r>
        <w:t xml:space="preserve"> Allowing corporations to purchase volume from cooperatives while strictly prohibiting them from altering internal peer-review verification procedures or enforcing proprietary input supply packages on farmers.</w:t>
      </w:r>
    </w:p>
    <w:p w14:paraId="5B707239" w14:textId="77777777" w:rsidR="00FB019D" w:rsidRDefault="00000000">
      <w:pPr>
        <w:pStyle w:val="Heading3"/>
      </w:pPr>
      <w:r>
        <w:t>Summary Table (Q20–Q22)</w:t>
      </w:r>
    </w:p>
    <w:p w14:paraId="5B70723A" w14:textId="77777777" w:rsidR="00FB019D" w:rsidRDefault="00FB019D">
      <w:pPr>
        <w:pBdr>
          <w:top w:val="nil"/>
          <w:left w:val="nil"/>
          <w:bottom w:val="nil"/>
          <w:right w:val="nil"/>
          <w:between w:val="nil"/>
        </w:pBdr>
        <w:spacing w:before="0" w:after="320"/>
        <w:ind w:left="0" w:right="0"/>
        <w:rPr>
          <w:b/>
          <w:bCs/>
          <w:sz w:val="28"/>
          <w:szCs w:val="28"/>
        </w:rPr>
      </w:pPr>
    </w:p>
    <w:tbl>
      <w:tblPr>
        <w:tblStyle w:val="a1"/>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3120"/>
        <w:gridCol w:w="3120"/>
        <w:gridCol w:w="3120"/>
      </w:tblGrid>
      <w:tr w:rsidR="00FB019D" w14:paraId="5B70723E" w14:textId="77777777">
        <w:trPr>
          <w:tblHeader/>
        </w:trPr>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3B" w14:textId="77777777" w:rsidR="00FB019D" w:rsidRDefault="00000000">
            <w:pPr>
              <w:pBdr>
                <w:top w:val="nil"/>
                <w:left w:val="nil"/>
                <w:bottom w:val="nil"/>
                <w:right w:val="nil"/>
                <w:between w:val="nil"/>
              </w:pBdr>
              <w:spacing w:before="180" w:after="180"/>
              <w:ind w:left="0" w:right="0"/>
              <w:rPr>
                <w:b/>
                <w:bCs/>
              </w:rPr>
            </w:pPr>
            <w:r>
              <w:rPr>
                <w:b/>
                <w:bCs/>
              </w:rPr>
              <w:t>Question</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3C" w14:textId="77777777" w:rsidR="00FB019D" w:rsidRDefault="00000000">
            <w:pPr>
              <w:pBdr>
                <w:top w:val="nil"/>
                <w:left w:val="nil"/>
                <w:bottom w:val="nil"/>
                <w:right w:val="nil"/>
                <w:between w:val="nil"/>
              </w:pBdr>
              <w:spacing w:before="180" w:after="180"/>
              <w:ind w:left="0" w:right="0"/>
              <w:rPr>
                <w:b/>
                <w:bCs/>
              </w:rPr>
            </w:pPr>
            <w:r>
              <w:rPr>
                <w:b/>
                <w:bCs/>
              </w:rPr>
              <w:t>Dominant Risk</w:t>
            </w:r>
          </w:p>
        </w:tc>
        <w:tc>
          <w:tcPr>
            <w:tcW w:w="312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3D" w14:textId="77777777" w:rsidR="00FB019D" w:rsidRDefault="00000000">
            <w:pPr>
              <w:pBdr>
                <w:top w:val="nil"/>
                <w:left w:val="nil"/>
                <w:bottom w:val="nil"/>
                <w:right w:val="nil"/>
                <w:between w:val="nil"/>
              </w:pBdr>
              <w:spacing w:before="180" w:after="180"/>
              <w:ind w:left="0" w:right="0"/>
              <w:rPr>
                <w:b/>
                <w:bCs/>
              </w:rPr>
            </w:pPr>
            <w:r>
              <w:rPr>
                <w:b/>
                <w:bCs/>
              </w:rPr>
              <w:t>Pragmatic Systems Solution</w:t>
            </w:r>
          </w:p>
        </w:tc>
      </w:tr>
      <w:tr w:rsidR="00FB019D" w14:paraId="5B707242"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3F" w14:textId="77777777" w:rsidR="00FB019D" w:rsidRDefault="00000000">
            <w:pPr>
              <w:pBdr>
                <w:top w:val="nil"/>
                <w:left w:val="nil"/>
                <w:bottom w:val="nil"/>
                <w:right w:val="nil"/>
                <w:between w:val="nil"/>
              </w:pBdr>
              <w:spacing w:before="120" w:after="120"/>
              <w:ind w:left="0" w:right="0"/>
              <w:rPr>
                <w:b/>
                <w:bCs/>
              </w:rPr>
            </w:pPr>
            <w:r>
              <w:rPr>
                <w:b/>
                <w:bCs/>
              </w:rPr>
              <w:t>Q20: Politicization &amp; Commodification</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0" w14:textId="77777777" w:rsidR="00FB019D" w:rsidRDefault="00000000">
            <w:pPr>
              <w:pBdr>
                <w:top w:val="nil"/>
                <w:left w:val="nil"/>
                <w:bottom w:val="nil"/>
                <w:right w:val="nil"/>
                <w:between w:val="nil"/>
              </w:pBdr>
              <w:spacing w:before="120" w:after="120"/>
              <w:ind w:left="0" w:right="0"/>
            </w:pPr>
            <w:r>
              <w:t>Volatile carbon claims &amp; land speculation.</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1" w14:textId="77777777" w:rsidR="00FB019D" w:rsidRDefault="00000000">
            <w:pPr>
              <w:pBdr>
                <w:top w:val="nil"/>
                <w:left w:val="nil"/>
                <w:bottom w:val="nil"/>
                <w:right w:val="nil"/>
                <w:between w:val="nil"/>
              </w:pBdr>
              <w:spacing w:before="120" w:after="120"/>
              <w:ind w:left="0" w:right="0"/>
            </w:pPr>
            <w:r>
              <w:t>Harness private transition capital/PES to fund practice changes, while grounding governance in subnational political policy and tenure security.</w:t>
            </w:r>
          </w:p>
        </w:tc>
      </w:tr>
      <w:tr w:rsidR="00FB019D" w14:paraId="5B707246"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3" w14:textId="77777777" w:rsidR="00FB019D" w:rsidRDefault="00000000">
            <w:pPr>
              <w:pBdr>
                <w:top w:val="nil"/>
                <w:left w:val="nil"/>
                <w:bottom w:val="nil"/>
                <w:right w:val="nil"/>
                <w:between w:val="nil"/>
              </w:pBdr>
              <w:spacing w:before="120" w:after="120"/>
              <w:ind w:left="0" w:right="0"/>
              <w:rPr>
                <w:b/>
                <w:bCs/>
              </w:rPr>
            </w:pPr>
            <w:r>
              <w:rPr>
                <w:b/>
                <w:bCs/>
              </w:rPr>
              <w:t>Q21: Donor Dependency</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4" w14:textId="77777777" w:rsidR="00FB019D" w:rsidRDefault="00000000">
            <w:pPr>
              <w:pBdr>
                <w:top w:val="nil"/>
                <w:left w:val="nil"/>
                <w:bottom w:val="nil"/>
                <w:right w:val="nil"/>
                <w:between w:val="nil"/>
              </w:pBdr>
              <w:spacing w:before="120" w:after="120"/>
              <w:ind w:left="0" w:right="0"/>
            </w:pPr>
            <w:r>
              <w:t>Collapse of adoption post-</w:t>
            </w:r>
            <w:r>
              <w:lastRenderedPageBreak/>
              <w:t>project closure.</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5" w14:textId="77777777" w:rsidR="00FB019D" w:rsidRDefault="00000000">
            <w:pPr>
              <w:pBdr>
                <w:top w:val="nil"/>
                <w:left w:val="nil"/>
                <w:bottom w:val="nil"/>
                <w:right w:val="nil"/>
                <w:between w:val="nil"/>
              </w:pBdr>
              <w:spacing w:before="120" w:after="120"/>
              <w:ind w:left="0" w:right="0"/>
            </w:pPr>
            <w:r>
              <w:lastRenderedPageBreak/>
              <w:t xml:space="preserve">Transition from 100% grants to cooperative matching </w:t>
            </w:r>
            <w:r>
              <w:lastRenderedPageBreak/>
              <w:t>funds, capitalize local bio-hubs as self-sustaining businesses, and anchor off-take contracts.</w:t>
            </w:r>
          </w:p>
        </w:tc>
      </w:tr>
      <w:tr w:rsidR="00FB019D" w14:paraId="5B70724A" w14:textId="77777777">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7" w14:textId="77777777" w:rsidR="00FB019D" w:rsidRDefault="00000000">
            <w:pPr>
              <w:pBdr>
                <w:top w:val="nil"/>
                <w:left w:val="nil"/>
                <w:bottom w:val="nil"/>
                <w:right w:val="nil"/>
                <w:between w:val="nil"/>
              </w:pBdr>
              <w:spacing w:before="120" w:after="120"/>
              <w:ind w:left="0" w:right="0"/>
              <w:rPr>
                <w:b/>
                <w:bCs/>
              </w:rPr>
            </w:pPr>
            <w:r>
              <w:rPr>
                <w:b/>
                <w:bCs/>
              </w:rPr>
              <w:lastRenderedPageBreak/>
              <w:t>Q22: Corporate Co-optation</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8" w14:textId="77777777" w:rsidR="00FB019D" w:rsidRDefault="00000000">
            <w:pPr>
              <w:pBdr>
                <w:top w:val="nil"/>
                <w:left w:val="nil"/>
                <w:bottom w:val="nil"/>
                <w:right w:val="nil"/>
                <w:between w:val="nil"/>
              </w:pBdr>
              <w:spacing w:before="120" w:after="120"/>
              <w:ind w:left="0" w:right="0"/>
            </w:pPr>
            <w:r>
              <w:t>Dilution of standards &amp; loss of autonomy.</w:t>
            </w:r>
          </w:p>
        </w:tc>
        <w:tc>
          <w:tcPr>
            <w:tcW w:w="312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49" w14:textId="77777777" w:rsidR="00FB019D" w:rsidRDefault="00000000">
            <w:pPr>
              <w:pBdr>
                <w:top w:val="nil"/>
                <w:left w:val="nil"/>
                <w:bottom w:val="nil"/>
                <w:right w:val="nil"/>
                <w:between w:val="nil"/>
              </w:pBdr>
              <w:spacing w:before="120" w:after="120"/>
              <w:ind w:left="0" w:right="0"/>
            </w:pPr>
            <w:r>
              <w:t>Legally protect PGS definitions in national law and enforce 51%+ cooperative ownership over local aggregation infrastructure and brand assets.</w:t>
            </w:r>
          </w:p>
        </w:tc>
      </w:tr>
    </w:tbl>
    <w:p w14:paraId="5B70724B" w14:textId="77777777" w:rsidR="00FB019D" w:rsidRDefault="00000000">
      <w:pPr>
        <w:pBdr>
          <w:top w:val="nil"/>
          <w:left w:val="nil"/>
          <w:bottom w:val="nil"/>
          <w:right w:val="nil"/>
          <w:between w:val="nil"/>
        </w:pBdr>
        <w:spacing w:before="0" w:after="320"/>
        <w:ind w:left="0" w:right="0"/>
      </w:pPr>
      <w:r>
        <w:t xml:space="preserve">Whenever you are ready, let me know your thoughts on </w:t>
      </w:r>
      <w:r>
        <w:rPr>
          <w:b/>
          <w:bCs/>
        </w:rPr>
        <w:t>Q23 (Land Tenure &amp; Multi-Year Investments)</w:t>
      </w:r>
      <w:r>
        <w:t xml:space="preserve">, </w:t>
      </w:r>
      <w:r>
        <w:rPr>
          <w:b/>
          <w:bCs/>
        </w:rPr>
        <w:t>Q24 (Cold-Chain &amp; Food Loss Logistics)</w:t>
      </w:r>
      <w:r>
        <w:t xml:space="preserve">, or </w:t>
      </w:r>
      <w:r>
        <w:rPr>
          <w:b/>
          <w:bCs/>
        </w:rPr>
        <w:t>Q25 (Non-Market Stewardship Payments)</w:t>
      </w:r>
      <w:r>
        <w:t>!</w:t>
      </w:r>
    </w:p>
    <w:p w14:paraId="5B70724C" w14:textId="77777777" w:rsidR="00FB019D" w:rsidRDefault="00000000">
      <w:pPr>
        <w:pBdr>
          <w:top w:val="nil"/>
          <w:left w:val="nil"/>
          <w:bottom w:val="nil"/>
          <w:right w:val="nil"/>
          <w:between w:val="nil"/>
        </w:pBdr>
        <w:spacing w:before="0" w:after="0"/>
        <w:ind w:left="0" w:right="0"/>
      </w:pPr>
      <w:r>
        <w:pict w14:anchorId="5B7072F7">
          <v:rect id="_x0000_i1051" style="width:0;height:1.5pt" o:hralign="center" o:hrstd="t" o:hr="t" fillcolor="#a0a0a0" stroked="f"/>
        </w:pict>
      </w:r>
    </w:p>
    <w:p w14:paraId="5B70724D"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Q21: That's why local agencies like extension is critical. Q23: change laws and policies on land tenure. Support Mechanisms for long-terme land rental. Q24: Nah, this is more technical question. Shall we change to a question in intermediaries? Q25: it's the question of values again. Yes, building shared ground is critical but we also need others to materialize the connection.</w:t>
      </w:r>
    </w:p>
    <w:p w14:paraId="5B70724E"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24F" w14:textId="77777777" w:rsidR="00FB019D" w:rsidRDefault="00000000">
      <w:pPr>
        <w:numPr>
          <w:ilvl w:val="0"/>
          <w:numId w:val="132"/>
        </w:numPr>
        <w:pBdr>
          <w:top w:val="nil"/>
          <w:left w:val="nil"/>
          <w:bottom w:val="nil"/>
          <w:right w:val="nil"/>
          <w:between w:val="nil"/>
        </w:pBdr>
        <w:spacing w:before="0" w:after="0"/>
        <w:ind w:right="0"/>
      </w:pPr>
      <w:r>
        <w:rPr>
          <w:i/>
          <w:iCs/>
        </w:rPr>
        <w:t>Q21:</w:t>
      </w:r>
      <w:r>
        <w:t xml:space="preserve"> "How can international donor-funded agricultural programs avoid creating 'subsidy dependencies' or ephemeral success stories that collapse immediately after project funding cycles end?"</w:t>
      </w:r>
    </w:p>
    <w:p w14:paraId="5B707250" w14:textId="77777777" w:rsidR="00FB019D" w:rsidRDefault="00000000">
      <w:pPr>
        <w:numPr>
          <w:ilvl w:val="0"/>
          <w:numId w:val="132"/>
        </w:numPr>
        <w:pBdr>
          <w:top w:val="nil"/>
          <w:left w:val="nil"/>
          <w:bottom w:val="nil"/>
          <w:right w:val="nil"/>
          <w:between w:val="nil"/>
        </w:pBdr>
        <w:spacing w:before="0" w:after="0"/>
        <w:ind w:right="0"/>
      </w:pPr>
      <w:r>
        <w:rPr>
          <w:i/>
          <w:iCs/>
        </w:rPr>
        <w:t>Q23:</w:t>
      </w:r>
      <w:r>
        <w:t xml:space="preserve"> "How can land tenure insecurity and customary land rights frameworks in ASEAN be reconciled with the multi-year investment horizons required for soil organic matter restoration and agroforestry?"</w:t>
      </w:r>
    </w:p>
    <w:p w14:paraId="5B707251" w14:textId="77777777" w:rsidR="00FB019D" w:rsidRDefault="00000000">
      <w:pPr>
        <w:numPr>
          <w:ilvl w:val="0"/>
          <w:numId w:val="132"/>
        </w:numPr>
        <w:pBdr>
          <w:top w:val="nil"/>
          <w:left w:val="nil"/>
          <w:bottom w:val="nil"/>
          <w:right w:val="nil"/>
          <w:between w:val="nil"/>
        </w:pBdr>
        <w:spacing w:before="0" w:after="0"/>
        <w:ind w:right="0"/>
      </w:pPr>
      <w:r>
        <w:rPr>
          <w:i/>
          <w:iCs/>
        </w:rPr>
        <w:t>Q24 (Reframed):</w:t>
      </w:r>
      <w:r>
        <w:t xml:space="preserve"> "How can market intermediaries (collectors, traders, aggregators) be incentivized and structurally transformed from extractive price-takers into value-adding partners in regenerative food systems?"</w:t>
      </w:r>
    </w:p>
    <w:p w14:paraId="5B707252" w14:textId="77777777" w:rsidR="00FB019D" w:rsidRDefault="00000000">
      <w:pPr>
        <w:numPr>
          <w:ilvl w:val="0"/>
          <w:numId w:val="132"/>
        </w:numPr>
        <w:pBdr>
          <w:top w:val="nil"/>
          <w:left w:val="nil"/>
          <w:bottom w:val="nil"/>
          <w:right w:val="nil"/>
          <w:between w:val="nil"/>
        </w:pBdr>
        <w:spacing w:before="0" w:after="0"/>
        <w:ind w:right="0"/>
      </w:pPr>
      <w:r>
        <w:rPr>
          <w:i/>
          <w:iCs/>
        </w:rPr>
        <w:t>Q25:</w:t>
      </w:r>
      <w:r>
        <w:t xml:space="preserve"> "When market premiums fail to materialize or fluctuate unpredictably, what non-market governance mechanisms provide the most stable foundation for long-term ecological restoration?"</w:t>
      </w:r>
    </w:p>
    <w:p w14:paraId="5B707253" w14:textId="77777777" w:rsidR="00FB019D" w:rsidRDefault="00000000">
      <w:pPr>
        <w:pStyle w:val="Heading3"/>
        <w:spacing w:after="320"/>
      </w:pPr>
      <w:r>
        <w:t>Expert Critique &amp; Systems-Thinking Analysis</w:t>
      </w:r>
    </w:p>
    <w:p w14:paraId="5B707254" w14:textId="77777777" w:rsidR="00FB019D" w:rsidRDefault="00000000">
      <w:pPr>
        <w:pBdr>
          <w:top w:val="nil"/>
          <w:left w:val="nil"/>
          <w:bottom w:val="nil"/>
          <w:right w:val="nil"/>
          <w:between w:val="nil"/>
        </w:pBdr>
        <w:spacing w:before="0" w:after="320"/>
        <w:ind w:left="0" w:right="0"/>
      </w:pPr>
      <w:r>
        <w:t xml:space="preserve">Your reflections on </w:t>
      </w:r>
      <w:r>
        <w:rPr>
          <w:b/>
          <w:bCs/>
        </w:rPr>
        <w:t>Q21, Q23, Q24, and Q25</w:t>
      </w:r>
      <w:r>
        <w:t xml:space="preserve"> bring our entire policy framework to a cohesive, pragmatic close. Let me synthesize your points using structural analysis and empirical systems thinking:</w:t>
      </w:r>
    </w:p>
    <w:p w14:paraId="5B707255" w14:textId="77777777" w:rsidR="00FB019D" w:rsidRDefault="00000000">
      <w:pPr>
        <w:pStyle w:val="Heading3"/>
        <w:spacing w:before="0"/>
      </w:pPr>
      <w:r>
        <w:t>1. Revisiting Q21: The Central Role of Local Extension Agencies</w:t>
      </w:r>
    </w:p>
    <w:p w14:paraId="5B707256" w14:textId="77777777" w:rsidR="00FB019D" w:rsidRDefault="00000000">
      <w:pPr>
        <w:numPr>
          <w:ilvl w:val="0"/>
          <w:numId w:val="133"/>
        </w:numPr>
        <w:pBdr>
          <w:top w:val="nil"/>
          <w:left w:val="nil"/>
          <w:bottom w:val="nil"/>
          <w:right w:val="nil"/>
          <w:between w:val="nil"/>
        </w:pBdr>
        <w:spacing w:before="0" w:after="0"/>
        <w:ind w:right="0"/>
      </w:pPr>
      <w:r>
        <w:rPr>
          <w:b/>
          <w:bCs/>
        </w:rPr>
        <w:lastRenderedPageBreak/>
        <w:t>Your Insight:</w:t>
      </w:r>
      <w:r>
        <w:t xml:space="preserve"> Local public extension agencies are the indispensable structural "bridge" to sustain adoption beyond donor funding.</w:t>
      </w:r>
    </w:p>
    <w:p w14:paraId="5B707257" w14:textId="77777777" w:rsidR="00FB019D" w:rsidRDefault="00000000">
      <w:pPr>
        <w:numPr>
          <w:ilvl w:val="0"/>
          <w:numId w:val="133"/>
        </w:numPr>
        <w:pBdr>
          <w:top w:val="nil"/>
          <w:left w:val="nil"/>
          <w:bottom w:val="nil"/>
          <w:right w:val="nil"/>
          <w:between w:val="nil"/>
        </w:pBdr>
        <w:spacing w:before="0" w:after="0"/>
        <w:ind w:right="0"/>
      </w:pPr>
      <w:r>
        <w:rPr>
          <w:b/>
          <w:bCs/>
        </w:rPr>
        <w:t>Systems Analysis:</w:t>
      </w:r>
      <w:r>
        <w:t xml:space="preserve"> You are spot on. Donor projects often build parallel, temporary extension structures using high-paid project consultants. When the project ends, those consultants vanish, leaving farmers without technical support.</w:t>
      </w:r>
    </w:p>
    <w:p w14:paraId="5B707258" w14:textId="77777777" w:rsidR="00FB019D" w:rsidRDefault="00000000">
      <w:pPr>
        <w:numPr>
          <w:ilvl w:val="0"/>
          <w:numId w:val="133"/>
        </w:numPr>
        <w:pBdr>
          <w:top w:val="nil"/>
          <w:left w:val="nil"/>
          <w:bottom w:val="nil"/>
          <w:right w:val="nil"/>
          <w:between w:val="nil"/>
        </w:pBdr>
        <w:spacing w:before="0" w:after="0"/>
        <w:ind w:right="0"/>
      </w:pPr>
      <w:r>
        <w:rPr>
          <w:b/>
          <w:bCs/>
        </w:rPr>
        <w:t>The Policy Solution:</w:t>
      </w:r>
      <w:r>
        <w:t xml:space="preserve"> International programs must </w:t>
      </w:r>
      <w:r>
        <w:rPr>
          <w:b/>
          <w:bCs/>
        </w:rPr>
        <w:t>work through and build the capacity of local public extension systems</w:t>
      </w:r>
      <w:r>
        <w:t xml:space="preserve"> (e.g., district agriculture offices, subnational extension networks) from Day 1. By co-designing training-of-trainers (ToT) programs with public extension officers and embedding regenerative modules into permanent national extension mandates, knowledge and institutional memory remain permanently embedded in local government budgets.</w:t>
      </w:r>
    </w:p>
    <w:p w14:paraId="5B707259" w14:textId="77777777" w:rsidR="00FB019D" w:rsidRDefault="00000000">
      <w:pPr>
        <w:pStyle w:val="Heading3"/>
      </w:pPr>
      <w:r>
        <w:t>2. Addressing Q23: Land Tenure &amp; Long-Term Investment Horizons</w:t>
      </w:r>
    </w:p>
    <w:p w14:paraId="5B70725A" w14:textId="77777777" w:rsidR="00FB019D" w:rsidRDefault="00000000">
      <w:pPr>
        <w:numPr>
          <w:ilvl w:val="0"/>
          <w:numId w:val="134"/>
        </w:numPr>
        <w:pBdr>
          <w:top w:val="nil"/>
          <w:left w:val="nil"/>
          <w:bottom w:val="nil"/>
          <w:right w:val="nil"/>
          <w:between w:val="nil"/>
        </w:pBdr>
        <w:spacing w:before="0" w:after="0"/>
        <w:ind w:right="0"/>
      </w:pPr>
      <w:r>
        <w:rPr>
          <w:b/>
          <w:bCs/>
        </w:rPr>
        <w:t>Your Insight:</w:t>
      </w:r>
      <w:r>
        <w:t xml:space="preserve"> Updating land laws/policies and establishing formal support mechanisms for long-term land rentals.</w:t>
      </w:r>
    </w:p>
    <w:p w14:paraId="5B70725B" w14:textId="77777777" w:rsidR="00FB019D" w:rsidRDefault="00000000">
      <w:pPr>
        <w:numPr>
          <w:ilvl w:val="0"/>
          <w:numId w:val="134"/>
        </w:numPr>
        <w:pBdr>
          <w:top w:val="nil"/>
          <w:left w:val="nil"/>
          <w:bottom w:val="nil"/>
          <w:right w:val="nil"/>
          <w:between w:val="nil"/>
        </w:pBdr>
        <w:spacing w:before="0" w:after="0"/>
        <w:ind w:right="0"/>
      </w:pPr>
      <w:r>
        <w:rPr>
          <w:b/>
          <w:bCs/>
        </w:rPr>
        <w:t>Systems Analysis:</w:t>
      </w:r>
      <w:r>
        <w:t xml:space="preserve"> Soil organic matter restoration, agroforestry, and perennial cropping require 3 to 7 years to yield ecological and economic returns. If smallholders operate under short-term, fragile land leases (e.g., 1–2 year informal rentals) or ambiguous customary tenure, they are structurally disincentivized from investing in soil health because the landowner might reclaim or re-lease the improved land once it becomes fertile.</w:t>
      </w:r>
    </w:p>
    <w:p w14:paraId="5B70725C" w14:textId="77777777" w:rsidR="00FB019D" w:rsidRDefault="00000000">
      <w:pPr>
        <w:numPr>
          <w:ilvl w:val="0"/>
          <w:numId w:val="134"/>
        </w:numPr>
        <w:pBdr>
          <w:top w:val="nil"/>
          <w:left w:val="nil"/>
          <w:bottom w:val="nil"/>
          <w:right w:val="nil"/>
          <w:between w:val="nil"/>
        </w:pBdr>
        <w:spacing w:before="0" w:after="0"/>
        <w:ind w:right="0"/>
      </w:pPr>
      <w:r>
        <w:rPr>
          <w:b/>
          <w:bCs/>
        </w:rPr>
        <w:t>Concrete Policy Mechanisms:</w:t>
      </w:r>
    </w:p>
    <w:p w14:paraId="5B70725D" w14:textId="77777777" w:rsidR="00FB019D" w:rsidRDefault="00000000">
      <w:pPr>
        <w:numPr>
          <w:ilvl w:val="1"/>
          <w:numId w:val="135"/>
        </w:numPr>
        <w:pBdr>
          <w:top w:val="nil"/>
          <w:left w:val="nil"/>
          <w:bottom w:val="nil"/>
          <w:right w:val="nil"/>
          <w:between w:val="nil"/>
        </w:pBdr>
        <w:spacing w:before="0" w:after="0"/>
        <w:ind w:right="0"/>
      </w:pPr>
      <w:r>
        <w:rPr>
          <w:b/>
          <w:bCs/>
        </w:rPr>
        <w:t>Long-Term Secure Rental Templates:</w:t>
      </w:r>
      <w:r>
        <w:t xml:space="preserve"> Standardizing legally binding, long-term lease frameworks (e.g., 10–15 year agricultural land rental contracts) that explicitly protect the tenant’s right to recoup investments made in soil improvement and permanent agroforestry infrastructure.</w:t>
      </w:r>
    </w:p>
    <w:p w14:paraId="5B70725E" w14:textId="77777777" w:rsidR="00FB019D" w:rsidRDefault="00000000">
      <w:pPr>
        <w:numPr>
          <w:ilvl w:val="1"/>
          <w:numId w:val="135"/>
        </w:numPr>
        <w:pBdr>
          <w:top w:val="nil"/>
          <w:left w:val="nil"/>
          <w:bottom w:val="nil"/>
          <w:right w:val="nil"/>
          <w:between w:val="nil"/>
        </w:pBdr>
        <w:spacing w:before="0" w:after="0"/>
        <w:ind w:right="0"/>
      </w:pPr>
      <w:r>
        <w:rPr>
          <w:b/>
          <w:bCs/>
        </w:rPr>
        <w:t>Land-Use Certificate Reforms:</w:t>
      </w:r>
      <w:r>
        <w:t xml:space="preserve"> Streamlining the issuance of Land Use Rights Certificates (LURCs / </w:t>
      </w:r>
      <w:r>
        <w:rPr>
          <w:i/>
          <w:iCs/>
        </w:rPr>
        <w:t>sổ đỏ</w:t>
      </w:r>
      <w:r>
        <w:t xml:space="preserve"> in Vietnam) and recognizing group/cooperative land titles, allowing producer groups to use collective land rights as collateral for transition credit.</w:t>
      </w:r>
    </w:p>
    <w:p w14:paraId="5B70725F" w14:textId="77777777" w:rsidR="00FB019D" w:rsidRDefault="00000000">
      <w:pPr>
        <w:numPr>
          <w:ilvl w:val="1"/>
          <w:numId w:val="135"/>
        </w:numPr>
        <w:pBdr>
          <w:top w:val="nil"/>
          <w:left w:val="nil"/>
          <w:bottom w:val="nil"/>
          <w:right w:val="nil"/>
          <w:between w:val="nil"/>
        </w:pBdr>
        <w:spacing w:before="0" w:after="0"/>
        <w:ind w:right="0"/>
      </w:pPr>
      <w:r>
        <w:rPr>
          <w:b/>
          <w:bCs/>
        </w:rPr>
        <w:t>Tenure-Linked Ecological Compensation:</w:t>
      </w:r>
      <w:r>
        <w:t xml:space="preserve"> Incorporating clauses in land leases where soil health improvements (measured via baseline vs. endline soil organic carbon) legally entitle the tenant to lease renewal guarantees or rent-discount incentives.</w:t>
      </w:r>
    </w:p>
    <w:p w14:paraId="5B707260" w14:textId="77777777" w:rsidR="00FB019D" w:rsidRDefault="00000000">
      <w:pPr>
        <w:pStyle w:val="Heading3"/>
      </w:pPr>
      <w:r>
        <w:t>3. Addressing Q24 (Reframed): Structural Transformation of Intermediaries</w:t>
      </w:r>
    </w:p>
    <w:p w14:paraId="5B707261" w14:textId="77777777" w:rsidR="00FB019D" w:rsidRDefault="00000000">
      <w:pPr>
        <w:numPr>
          <w:ilvl w:val="0"/>
          <w:numId w:val="136"/>
        </w:numPr>
        <w:pBdr>
          <w:top w:val="nil"/>
          <w:left w:val="nil"/>
          <w:bottom w:val="nil"/>
          <w:right w:val="nil"/>
          <w:between w:val="nil"/>
        </w:pBdr>
        <w:spacing w:before="0" w:after="0"/>
        <w:ind w:right="0"/>
      </w:pPr>
      <w:r>
        <w:rPr>
          <w:b/>
          <w:bCs/>
        </w:rPr>
        <w:t>Why the Pivot Matters:</w:t>
      </w:r>
      <w:r>
        <w:t xml:space="preserve"> You correctly pointed out that cold-chain hardware is purely technical; the </w:t>
      </w:r>
      <w:r>
        <w:rPr>
          <w:i/>
          <w:iCs/>
        </w:rPr>
        <w:t>real socio-economic bottleneck</w:t>
      </w:r>
      <w:r>
        <w:t xml:space="preserve"> lies in the </w:t>
      </w:r>
      <w:r>
        <w:rPr>
          <w:b/>
          <w:bCs/>
        </w:rPr>
        <w:t>midstream intermediaries</w:t>
      </w:r>
      <w:r>
        <w:t xml:space="preserve"> (local collectors, informal traders, assembly agents).</w:t>
      </w:r>
    </w:p>
    <w:p w14:paraId="5B707262" w14:textId="77777777" w:rsidR="00FB019D" w:rsidRDefault="00000000">
      <w:pPr>
        <w:numPr>
          <w:ilvl w:val="0"/>
          <w:numId w:val="136"/>
        </w:numPr>
        <w:pBdr>
          <w:top w:val="nil"/>
          <w:left w:val="nil"/>
          <w:bottom w:val="nil"/>
          <w:right w:val="nil"/>
          <w:between w:val="nil"/>
        </w:pBdr>
        <w:spacing w:before="0" w:after="0"/>
        <w:ind w:right="0"/>
      </w:pPr>
      <w:r>
        <w:rPr>
          <w:b/>
          <w:bCs/>
        </w:rPr>
        <w:t>The Intermediary Dilemma:</w:t>
      </w:r>
      <w:r>
        <w:t xml:space="preserve"> Midstream traders are often vilified as "extractive middle-men." However, in LMICs, they perform indispensable functions: providing instant cash-on-delivery to farmers, bearing transport risks, and providing informal emergency credit.</w:t>
      </w:r>
    </w:p>
    <w:p w14:paraId="5B707263" w14:textId="77777777" w:rsidR="00FB019D" w:rsidRDefault="00000000">
      <w:pPr>
        <w:numPr>
          <w:ilvl w:val="0"/>
          <w:numId w:val="136"/>
        </w:numPr>
        <w:pBdr>
          <w:top w:val="nil"/>
          <w:left w:val="nil"/>
          <w:bottom w:val="nil"/>
          <w:right w:val="nil"/>
          <w:between w:val="nil"/>
        </w:pBdr>
        <w:spacing w:before="0" w:after="0"/>
        <w:ind w:right="0"/>
      </w:pPr>
      <w:r>
        <w:rPr>
          <w:b/>
          <w:bCs/>
        </w:rPr>
        <w:t>How to Turn Intermediaries into Value-Adding Partners:</w:t>
      </w:r>
    </w:p>
    <w:p w14:paraId="5B707264" w14:textId="77777777" w:rsidR="00FB019D" w:rsidRDefault="00000000">
      <w:pPr>
        <w:numPr>
          <w:ilvl w:val="1"/>
          <w:numId w:val="138"/>
        </w:numPr>
        <w:pBdr>
          <w:top w:val="nil"/>
          <w:left w:val="nil"/>
          <w:bottom w:val="nil"/>
          <w:right w:val="nil"/>
          <w:between w:val="nil"/>
        </w:pBdr>
        <w:spacing w:before="0" w:after="0"/>
        <w:ind w:right="0"/>
      </w:pPr>
      <w:r>
        <w:rPr>
          <w:b/>
          <w:bCs/>
        </w:rPr>
        <w:t>Co-Aggregation &amp; First-Mile Hubs:</w:t>
      </w:r>
      <w:r>
        <w:t xml:space="preserve"> Rather than trying to eliminate traders, integrate them into cooperative logistics hubs. Pay traders a fair service/handling fee for aggregation and transport based on </w:t>
      </w:r>
      <w:r>
        <w:rPr>
          <w:i/>
          <w:iCs/>
        </w:rPr>
        <w:t>quality and compliance</w:t>
      </w:r>
      <w:r>
        <w:t xml:space="preserve"> (e.g., residue-free, VietGAP/PGS produce) rather than squeezing farm-gate prices.</w:t>
      </w:r>
    </w:p>
    <w:p w14:paraId="5B707265" w14:textId="77777777" w:rsidR="00FB019D" w:rsidRDefault="00000000">
      <w:pPr>
        <w:numPr>
          <w:ilvl w:val="1"/>
          <w:numId w:val="138"/>
        </w:numPr>
        <w:pBdr>
          <w:top w:val="nil"/>
          <w:left w:val="nil"/>
          <w:bottom w:val="nil"/>
          <w:right w:val="nil"/>
          <w:between w:val="nil"/>
        </w:pBdr>
        <w:spacing w:before="0" w:after="0"/>
        <w:ind w:right="0"/>
      </w:pPr>
      <w:r>
        <w:rPr>
          <w:b/>
          <w:bCs/>
        </w:rPr>
        <w:t>Traceability Integration:</w:t>
      </w:r>
      <w:r>
        <w:t xml:space="preserve"> Equip local collectors with digital/lightweight logging tools so they become the primary data-capturing nodes for origin tracking, turning their informal network into a formal, transparent supply bridge.</w:t>
      </w:r>
    </w:p>
    <w:p w14:paraId="5B707266" w14:textId="77777777" w:rsidR="00FB019D" w:rsidRDefault="00000000">
      <w:pPr>
        <w:pStyle w:val="Heading3"/>
      </w:pPr>
      <w:r>
        <w:t xml:space="preserve">4. Addressing Q25: Operationalizing Non-Market Stewardship and Shared </w:t>
      </w:r>
      <w:r>
        <w:lastRenderedPageBreak/>
        <w:t>Values</w:t>
      </w:r>
    </w:p>
    <w:p w14:paraId="5B707267" w14:textId="77777777" w:rsidR="00FB019D" w:rsidRDefault="00000000">
      <w:pPr>
        <w:numPr>
          <w:ilvl w:val="0"/>
          <w:numId w:val="139"/>
        </w:numPr>
        <w:pBdr>
          <w:top w:val="nil"/>
          <w:left w:val="nil"/>
          <w:bottom w:val="nil"/>
          <w:right w:val="nil"/>
          <w:between w:val="nil"/>
        </w:pBdr>
        <w:spacing w:before="0" w:after="0"/>
        <w:ind w:right="0"/>
      </w:pPr>
      <w:r>
        <w:rPr>
          <w:b/>
          <w:bCs/>
        </w:rPr>
        <w:t>Your Insight:</w:t>
      </w:r>
      <w:r>
        <w:t xml:space="preserve"> It comes back to values—shared normative ground is vital, but non-market material mechanisms are needed to solidify that connection.</w:t>
      </w:r>
    </w:p>
    <w:p w14:paraId="5B707268" w14:textId="77777777" w:rsidR="00FB019D" w:rsidRDefault="00000000">
      <w:pPr>
        <w:numPr>
          <w:ilvl w:val="0"/>
          <w:numId w:val="139"/>
        </w:numPr>
        <w:pBdr>
          <w:top w:val="nil"/>
          <w:left w:val="nil"/>
          <w:bottom w:val="nil"/>
          <w:right w:val="nil"/>
          <w:between w:val="nil"/>
        </w:pBdr>
        <w:spacing w:before="0" w:after="0"/>
        <w:ind w:right="0"/>
      </w:pPr>
      <w:r>
        <w:rPr>
          <w:b/>
          <w:bCs/>
        </w:rPr>
        <w:t>Systems Analysis:</w:t>
      </w:r>
      <w:r>
        <w:t xml:space="preserve"> When market premiums fluctuate or fail to materialize, relying solely on "shared environmental values" cannot protect a farming family from economic distress. Non-market mechanisms must provide a material baseline to sustain ecological stewardship.</w:t>
      </w:r>
    </w:p>
    <w:p w14:paraId="5B707269" w14:textId="77777777" w:rsidR="00FB019D" w:rsidRDefault="00000000">
      <w:pPr>
        <w:numPr>
          <w:ilvl w:val="0"/>
          <w:numId w:val="139"/>
        </w:numPr>
        <w:pBdr>
          <w:top w:val="nil"/>
          <w:left w:val="nil"/>
          <w:bottom w:val="nil"/>
          <w:right w:val="nil"/>
          <w:between w:val="nil"/>
        </w:pBdr>
        <w:spacing w:before="0" w:after="0"/>
        <w:ind w:right="0"/>
      </w:pPr>
      <w:r>
        <w:rPr>
          <w:b/>
          <w:bCs/>
        </w:rPr>
        <w:t>How to Materialize the Connection:</w:t>
      </w:r>
    </w:p>
    <w:p w14:paraId="5B70726A" w14:textId="77777777" w:rsidR="00FB019D"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                            ┌─────────────────────────────────────────┐</w:t>
      </w:r>
      <w:r>
        <w:rPr>
          <w:rFonts w:ascii="Courier" w:eastAsia="Courier" w:hAnsi="Courier" w:cs="Courier"/>
        </w:rPr>
        <w:br/>
        <w:t xml:space="preserve">                            │ Non-Market Ecological Stewardship       │</w:t>
      </w:r>
      <w:r>
        <w:rPr>
          <w:rFonts w:ascii="Courier" w:eastAsia="Courier" w:hAnsi="Courier" w:cs="Courier"/>
        </w:rPr>
        <w:br/>
        <w:t xml:space="preserve">                            │      (Stabilizing the Baseline)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                                    ▼</w:t>
      </w:r>
      <w:r>
        <w:rPr>
          <w:rFonts w:ascii="Courier" w:eastAsia="Courier" w:hAnsi="Courier" w:cs="Courier"/>
        </w:rPr>
        <w:br/>
        <w:t>┌─────────────────────────┐          ┌─────────────────────────┐          ┌─────────────────────────┐</w:t>
      </w:r>
      <w:r>
        <w:rPr>
          <w:rFonts w:ascii="Courier" w:eastAsia="Courier" w:hAnsi="Courier" w:cs="Courier"/>
        </w:rPr>
        <w:br/>
        <w:t>│ 1. Public Stewardship   │          │ 2. Territorial &amp; CSA    │          │ 3. Social Movement      │</w:t>
      </w:r>
      <w:r>
        <w:rPr>
          <w:rFonts w:ascii="Courier" w:eastAsia="Courier" w:hAnsi="Courier" w:cs="Courier"/>
        </w:rPr>
        <w:br/>
        <w:t>│    Payments (PES)       │          │    Risk-Sharing Networks│          │    &amp; Counter-Governance │</w:t>
      </w:r>
      <w:r>
        <w:rPr>
          <w:rFonts w:ascii="Courier" w:eastAsia="Courier" w:hAnsi="Courier" w:cs="Courier"/>
        </w:rPr>
        <w:br/>
        <w:t>└─────────────────────────┘          └─────────────────────────┘          └─────────────────────────┘</w:t>
      </w:r>
      <w:r>
        <w:rPr>
          <w:rFonts w:ascii="Courier" w:eastAsia="Courier" w:hAnsi="Courier" w:cs="Courier"/>
        </w:rPr>
        <w:br/>
      </w:r>
    </w:p>
    <w:p w14:paraId="5B70726B" w14:textId="77777777" w:rsidR="00FB019D" w:rsidRDefault="00000000">
      <w:pPr>
        <w:numPr>
          <w:ilvl w:val="0"/>
          <w:numId w:val="140"/>
        </w:numPr>
        <w:pBdr>
          <w:top w:val="nil"/>
          <w:left w:val="nil"/>
          <w:bottom w:val="nil"/>
          <w:right w:val="nil"/>
          <w:between w:val="nil"/>
        </w:pBdr>
        <w:spacing w:before="0" w:after="0"/>
        <w:ind w:right="0"/>
      </w:pPr>
      <w:r>
        <w:rPr>
          <w:b/>
          <w:bCs/>
        </w:rPr>
        <w:t>Public Stewardship Payments (PES):</w:t>
      </w:r>
      <w:r>
        <w:t xml:space="preserve"> State-backed payments for ecosystem services (e.g., watershed protection fees, biodiversity conservation stipends) paid directly to farmers regardless of market food prices. This treats soil restoration as a </w:t>
      </w:r>
      <w:r>
        <w:rPr>
          <w:b/>
          <w:bCs/>
        </w:rPr>
        <w:t>public good</w:t>
      </w:r>
      <w:r>
        <w:t>, not just a market commodity.</w:t>
      </w:r>
    </w:p>
    <w:p w14:paraId="5B70726C" w14:textId="77777777" w:rsidR="00FB019D" w:rsidRDefault="00000000">
      <w:pPr>
        <w:numPr>
          <w:ilvl w:val="0"/>
          <w:numId w:val="140"/>
        </w:numPr>
        <w:pBdr>
          <w:top w:val="nil"/>
          <w:left w:val="nil"/>
          <w:bottom w:val="nil"/>
          <w:right w:val="nil"/>
          <w:between w:val="nil"/>
        </w:pBdr>
        <w:spacing w:before="0" w:after="0"/>
        <w:ind w:right="0"/>
      </w:pPr>
      <w:r>
        <w:rPr>
          <w:b/>
          <w:bCs/>
        </w:rPr>
        <w:t>Community-Supported Agriculture (CSA) Risk-Sharing:</w:t>
      </w:r>
      <w:r>
        <w:t xml:space="preserve"> Consumers pay seasonal subscriptions upfront, directly sharing production risks and harvest fluctuations with the cooperative. This decouples farmer livelihood from volatile spot-market prices.</w:t>
      </w:r>
    </w:p>
    <w:p w14:paraId="5B70726D" w14:textId="77777777" w:rsidR="00FB019D" w:rsidRDefault="00000000">
      <w:pPr>
        <w:numPr>
          <w:ilvl w:val="0"/>
          <w:numId w:val="140"/>
        </w:numPr>
        <w:pBdr>
          <w:top w:val="nil"/>
          <w:left w:val="nil"/>
          <w:bottom w:val="nil"/>
          <w:right w:val="nil"/>
          <w:between w:val="nil"/>
        </w:pBdr>
        <w:spacing w:before="0" w:after="0"/>
        <w:ind w:right="0"/>
      </w:pPr>
      <w:r>
        <w:rPr>
          <w:b/>
          <w:bCs/>
        </w:rPr>
        <w:t>Agrarian Solidarity &amp; Social Movements:</w:t>
      </w:r>
      <w:r>
        <w:t xml:space="preserve"> Grounding scaling in local producer networks and civil society movements that cultivate relational values, collective identity, and peer support—ensuring that community cohesion remains intact even during market downturns.</w:t>
      </w:r>
    </w:p>
    <w:p w14:paraId="5B70726E" w14:textId="77777777" w:rsidR="00FB019D" w:rsidRDefault="00000000">
      <w:pPr>
        <w:pStyle w:val="Heading3"/>
        <w:spacing w:after="320"/>
      </w:pPr>
      <w:r>
        <w:t>Final Overview: Complete Q1–Q25 Policy Framework Synthesis</w:t>
      </w:r>
    </w:p>
    <w:p w14:paraId="5B70726F" w14:textId="77777777" w:rsidR="00FB019D" w:rsidRDefault="00000000">
      <w:pPr>
        <w:pBdr>
          <w:top w:val="nil"/>
          <w:left w:val="nil"/>
          <w:bottom w:val="nil"/>
          <w:right w:val="nil"/>
          <w:between w:val="nil"/>
        </w:pBdr>
        <w:spacing w:before="0" w:after="320"/>
        <w:ind w:left="0" w:right="0"/>
      </w:pPr>
      <w:r>
        <w:t>We have now systematically traversed all 25 critical dimensions of scaling regenerative food systems in ASEAN:</w:t>
      </w:r>
    </w:p>
    <w:p w14:paraId="5B707270" w14:textId="77777777" w:rsidR="00FB019D" w:rsidRDefault="00000000">
      <w:pPr>
        <w:numPr>
          <w:ilvl w:val="0"/>
          <w:numId w:val="141"/>
        </w:numPr>
        <w:pBdr>
          <w:top w:val="nil"/>
          <w:left w:val="nil"/>
          <w:bottom w:val="nil"/>
          <w:right w:val="nil"/>
          <w:between w:val="nil"/>
        </w:pBdr>
        <w:spacing w:before="0" w:after="0"/>
        <w:ind w:right="0"/>
      </w:pPr>
      <w:r>
        <w:rPr>
          <w:b/>
          <w:bCs/>
        </w:rPr>
        <w:t>Part I (Q1–Q7): Governance &amp; Institutional Frameworks</w:t>
      </w:r>
    </w:p>
    <w:p w14:paraId="5B707271" w14:textId="77777777" w:rsidR="00FB019D" w:rsidRDefault="00000000">
      <w:pPr>
        <w:numPr>
          <w:ilvl w:val="1"/>
          <w:numId w:val="142"/>
        </w:numPr>
        <w:pBdr>
          <w:top w:val="nil"/>
          <w:left w:val="nil"/>
          <w:bottom w:val="nil"/>
          <w:right w:val="nil"/>
          <w:between w:val="nil"/>
        </w:pBdr>
        <w:spacing w:before="0" w:after="0"/>
        <w:ind w:right="0"/>
      </w:pPr>
      <w:r>
        <w:t>Bundling technical, social, and institutional innovations.</w:t>
      </w:r>
    </w:p>
    <w:p w14:paraId="5B707272" w14:textId="77777777" w:rsidR="00FB019D" w:rsidRDefault="00000000">
      <w:pPr>
        <w:numPr>
          <w:ilvl w:val="1"/>
          <w:numId w:val="142"/>
        </w:numPr>
        <w:pBdr>
          <w:top w:val="nil"/>
          <w:left w:val="nil"/>
          <w:bottom w:val="nil"/>
          <w:right w:val="nil"/>
          <w:between w:val="nil"/>
        </w:pBdr>
        <w:spacing w:before="0" w:after="0"/>
        <w:ind w:right="0"/>
      </w:pPr>
      <w:r>
        <w:t>Leveraging public procurement (school feeding) as non-volatile demand anchors.</w:t>
      </w:r>
    </w:p>
    <w:p w14:paraId="5B707273" w14:textId="77777777" w:rsidR="00FB019D" w:rsidRDefault="00000000">
      <w:pPr>
        <w:numPr>
          <w:ilvl w:val="1"/>
          <w:numId w:val="142"/>
        </w:numPr>
        <w:pBdr>
          <w:top w:val="nil"/>
          <w:left w:val="nil"/>
          <w:bottom w:val="nil"/>
          <w:right w:val="nil"/>
          <w:between w:val="nil"/>
        </w:pBdr>
        <w:spacing w:before="0" w:after="0"/>
        <w:ind w:right="0"/>
      </w:pPr>
      <w:r>
        <w:t>Building cooperative power to capture value at the farm gate.</w:t>
      </w:r>
    </w:p>
    <w:p w14:paraId="5B707274" w14:textId="77777777" w:rsidR="00FB019D" w:rsidRDefault="00000000">
      <w:pPr>
        <w:numPr>
          <w:ilvl w:val="0"/>
          <w:numId w:val="141"/>
        </w:numPr>
        <w:pBdr>
          <w:top w:val="nil"/>
          <w:left w:val="nil"/>
          <w:bottom w:val="nil"/>
          <w:right w:val="nil"/>
          <w:between w:val="nil"/>
        </w:pBdr>
        <w:spacing w:before="0" w:after="0"/>
        <w:ind w:right="0"/>
      </w:pPr>
      <w:r>
        <w:rPr>
          <w:b/>
          <w:bCs/>
        </w:rPr>
        <w:t>Part II (Q8–Q16): Choice Architecture, Markets &amp; Behavior</w:t>
      </w:r>
    </w:p>
    <w:p w14:paraId="5B707275" w14:textId="77777777" w:rsidR="00FB019D" w:rsidRDefault="00000000">
      <w:pPr>
        <w:numPr>
          <w:ilvl w:val="1"/>
          <w:numId w:val="143"/>
        </w:numPr>
        <w:pBdr>
          <w:top w:val="nil"/>
          <w:left w:val="nil"/>
          <w:bottom w:val="nil"/>
          <w:right w:val="nil"/>
          <w:between w:val="nil"/>
        </w:pBdr>
        <w:spacing w:before="0" w:after="0"/>
        <w:ind w:right="0"/>
      </w:pPr>
      <w:r>
        <w:t>Overcoming the "lemons" problem with lightweight, two-way trust systems (PGS).</w:t>
      </w:r>
    </w:p>
    <w:p w14:paraId="5B707276" w14:textId="77777777" w:rsidR="00FB019D" w:rsidRDefault="00000000">
      <w:pPr>
        <w:numPr>
          <w:ilvl w:val="1"/>
          <w:numId w:val="143"/>
        </w:numPr>
        <w:pBdr>
          <w:top w:val="nil"/>
          <w:left w:val="nil"/>
          <w:bottom w:val="nil"/>
          <w:right w:val="nil"/>
          <w:between w:val="nil"/>
        </w:pBdr>
        <w:spacing w:before="0" w:after="0"/>
        <w:ind w:right="0"/>
      </w:pPr>
      <w:r>
        <w:t>Harnessing the "health halo" while managing price elasticity thresholds (~15–20%).</w:t>
      </w:r>
    </w:p>
    <w:p w14:paraId="5B707277" w14:textId="77777777" w:rsidR="00FB019D" w:rsidRDefault="00000000">
      <w:pPr>
        <w:numPr>
          <w:ilvl w:val="1"/>
          <w:numId w:val="143"/>
        </w:numPr>
        <w:pBdr>
          <w:top w:val="nil"/>
          <w:left w:val="nil"/>
          <w:bottom w:val="nil"/>
          <w:right w:val="nil"/>
          <w:between w:val="nil"/>
        </w:pBdr>
        <w:spacing w:before="0" w:after="0"/>
        <w:ind w:right="0"/>
      </w:pPr>
      <w:r>
        <w:t>Deploying retail choice architecture and structural defaults over passive labeling.</w:t>
      </w:r>
    </w:p>
    <w:p w14:paraId="5B707278" w14:textId="77777777" w:rsidR="00FB019D" w:rsidRDefault="00000000">
      <w:pPr>
        <w:numPr>
          <w:ilvl w:val="1"/>
          <w:numId w:val="143"/>
        </w:numPr>
        <w:pBdr>
          <w:top w:val="nil"/>
          <w:left w:val="nil"/>
          <w:bottom w:val="nil"/>
          <w:right w:val="nil"/>
          <w:between w:val="nil"/>
        </w:pBdr>
        <w:spacing w:before="0" w:after="0"/>
        <w:ind w:right="0"/>
      </w:pPr>
      <w:r>
        <w:t>Driving transition via multi-level leverage (de-risking finance, wet-market upgrading, and policy KPI shifts).</w:t>
      </w:r>
    </w:p>
    <w:p w14:paraId="5B707279" w14:textId="77777777" w:rsidR="00FB019D" w:rsidRDefault="00000000">
      <w:pPr>
        <w:numPr>
          <w:ilvl w:val="0"/>
          <w:numId w:val="141"/>
        </w:numPr>
        <w:pBdr>
          <w:top w:val="nil"/>
          <w:left w:val="nil"/>
          <w:bottom w:val="nil"/>
          <w:right w:val="nil"/>
          <w:between w:val="nil"/>
        </w:pBdr>
        <w:spacing w:before="0" w:after="0"/>
        <w:ind w:right="0"/>
      </w:pPr>
      <w:r>
        <w:rPr>
          <w:b/>
          <w:bCs/>
        </w:rPr>
        <w:t>Part III (Q17–Q25): Socio-Political Realities &amp; Human Machinery</w:t>
      </w:r>
    </w:p>
    <w:p w14:paraId="5B70727A" w14:textId="77777777" w:rsidR="00FB019D" w:rsidRDefault="00000000">
      <w:pPr>
        <w:numPr>
          <w:ilvl w:val="1"/>
          <w:numId w:val="144"/>
        </w:numPr>
        <w:pBdr>
          <w:top w:val="nil"/>
          <w:left w:val="nil"/>
          <w:bottom w:val="nil"/>
          <w:right w:val="nil"/>
          <w:between w:val="nil"/>
        </w:pBdr>
        <w:spacing w:before="0" w:after="0"/>
        <w:ind w:right="0"/>
      </w:pPr>
      <w:r>
        <w:lastRenderedPageBreak/>
        <w:t>Embedding subnational taskforces into statutory decrees and line-item budgets.</w:t>
      </w:r>
    </w:p>
    <w:p w14:paraId="5B70727B" w14:textId="77777777" w:rsidR="00FB019D" w:rsidRDefault="00000000">
      <w:pPr>
        <w:numPr>
          <w:ilvl w:val="1"/>
          <w:numId w:val="144"/>
        </w:numPr>
        <w:pBdr>
          <w:top w:val="nil"/>
          <w:left w:val="nil"/>
          <w:bottom w:val="nil"/>
          <w:right w:val="nil"/>
          <w:between w:val="nil"/>
        </w:pBdr>
        <w:spacing w:before="0" w:after="0"/>
        <w:ind w:right="0"/>
      </w:pPr>
      <w:r>
        <w:t>Addressing gender labor burdens and empowering youth agri-service entrepreneurs.</w:t>
      </w:r>
    </w:p>
    <w:p w14:paraId="5B70727C" w14:textId="77777777" w:rsidR="00FB019D" w:rsidRDefault="00000000">
      <w:pPr>
        <w:numPr>
          <w:ilvl w:val="1"/>
          <w:numId w:val="144"/>
        </w:numPr>
        <w:pBdr>
          <w:top w:val="nil"/>
          <w:left w:val="nil"/>
          <w:bottom w:val="nil"/>
          <w:right w:val="nil"/>
          <w:between w:val="nil"/>
        </w:pBdr>
        <w:spacing w:before="0" w:after="0"/>
        <w:ind w:right="0"/>
      </w:pPr>
      <w:r>
        <w:t>Balancing ecosystem commodification risks with private transition capital.</w:t>
      </w:r>
    </w:p>
    <w:p w14:paraId="5B70727D" w14:textId="77777777" w:rsidR="00FB019D" w:rsidRDefault="00000000">
      <w:pPr>
        <w:numPr>
          <w:ilvl w:val="1"/>
          <w:numId w:val="144"/>
        </w:numPr>
        <w:pBdr>
          <w:top w:val="nil"/>
          <w:left w:val="nil"/>
          <w:bottom w:val="nil"/>
          <w:right w:val="nil"/>
          <w:between w:val="nil"/>
        </w:pBdr>
        <w:spacing w:before="0" w:after="0"/>
        <w:ind w:right="0"/>
      </w:pPr>
      <w:r>
        <w:t>Securing long-term land rentals and transforming midstream traders into value-adding partners.</w:t>
      </w:r>
    </w:p>
    <w:p w14:paraId="5B70727E" w14:textId="77777777" w:rsidR="00FB019D" w:rsidRDefault="00000000">
      <w:pPr>
        <w:numPr>
          <w:ilvl w:val="1"/>
          <w:numId w:val="144"/>
        </w:numPr>
        <w:pBdr>
          <w:top w:val="nil"/>
          <w:left w:val="nil"/>
          <w:bottom w:val="nil"/>
          <w:right w:val="nil"/>
          <w:between w:val="nil"/>
        </w:pBdr>
        <w:spacing w:before="0" w:after="0"/>
        <w:ind w:right="0"/>
      </w:pPr>
      <w:r>
        <w:t>Sustaining ecological stewardship through public PES and risk-sharing networks.</w:t>
      </w:r>
    </w:p>
    <w:p w14:paraId="5B70727F" w14:textId="77777777" w:rsidR="00FB019D" w:rsidRDefault="00000000">
      <w:pPr>
        <w:pBdr>
          <w:top w:val="nil"/>
          <w:left w:val="nil"/>
          <w:bottom w:val="nil"/>
          <w:right w:val="nil"/>
          <w:between w:val="nil"/>
        </w:pBdr>
        <w:spacing w:before="320" w:after="320"/>
        <w:ind w:left="0" w:right="0"/>
      </w:pPr>
      <w:r>
        <w:t>Would you like to draft a final executive synthesis, structure this into a policy framework manuscript, or focus on a specific policy brief for subnational decision-makers?</w:t>
      </w:r>
    </w:p>
    <w:p w14:paraId="5B707280" w14:textId="77777777" w:rsidR="00FB019D" w:rsidRDefault="00000000">
      <w:pPr>
        <w:pBdr>
          <w:top w:val="nil"/>
          <w:left w:val="nil"/>
          <w:bottom w:val="nil"/>
          <w:right w:val="nil"/>
          <w:between w:val="nil"/>
        </w:pBdr>
        <w:spacing w:before="0" w:after="0"/>
        <w:ind w:left="0" w:right="0"/>
      </w:pPr>
      <w:r>
        <w:pict w14:anchorId="5B7072F8">
          <v:rect id="_x0000_i1052" style="width:0;height:1.5pt" o:hralign="center" o:hrstd="t" o:hr="t" fillcolor="#a0a0a0" stroked="f"/>
        </w:pict>
      </w:r>
    </w:p>
    <w:p w14:paraId="5B707281"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We can add one question Q26 on connectivity. What is this? Why it should be strengthened and how. Link it with values and market development. Add Q27 on market system development.</w:t>
      </w:r>
    </w:p>
    <w:p w14:paraId="5B707282" w14:textId="77777777" w:rsidR="00FB019D" w:rsidRDefault="00000000">
      <w:pPr>
        <w:pBdr>
          <w:top w:val="nil"/>
          <w:left w:val="nil"/>
          <w:bottom w:val="nil"/>
          <w:right w:val="nil"/>
          <w:between w:val="nil"/>
        </w:pBdr>
        <w:spacing w:before="0" w:after="320"/>
        <w:ind w:left="0" w:right="0"/>
        <w:rPr>
          <w:b/>
          <w:bCs/>
        </w:rPr>
      </w:pPr>
      <w:r>
        <w:t xml:space="preserve">Response: </w:t>
      </w:r>
      <w:r>
        <w:rPr>
          <w:b/>
          <w:bCs/>
        </w:rPr>
        <w:t>Related Original Questions Addressed:</w:t>
      </w:r>
    </w:p>
    <w:p w14:paraId="5B707283" w14:textId="77777777" w:rsidR="00FB019D" w:rsidRDefault="00000000">
      <w:pPr>
        <w:numPr>
          <w:ilvl w:val="0"/>
          <w:numId w:val="145"/>
        </w:numPr>
        <w:pBdr>
          <w:top w:val="nil"/>
          <w:left w:val="nil"/>
          <w:bottom w:val="nil"/>
          <w:right w:val="nil"/>
          <w:between w:val="nil"/>
        </w:pBdr>
        <w:spacing w:before="0" w:after="0"/>
        <w:ind w:right="0"/>
      </w:pPr>
      <w:r>
        <w:rPr>
          <w:i/>
          <w:iCs/>
        </w:rPr>
        <w:t>Q26:</w:t>
      </w:r>
      <w:r>
        <w:t xml:space="preserve"> "What is 'connectivity' within sustainable food systems, why must it be strengthened to scale regenerative agriculture in LMICs, and how does it bridge normative values with market development?"</w:t>
      </w:r>
    </w:p>
    <w:p w14:paraId="5B707284" w14:textId="77777777" w:rsidR="00FB019D" w:rsidRDefault="00000000">
      <w:pPr>
        <w:numPr>
          <w:ilvl w:val="0"/>
          <w:numId w:val="145"/>
        </w:numPr>
        <w:pBdr>
          <w:top w:val="nil"/>
          <w:left w:val="nil"/>
          <w:bottom w:val="nil"/>
          <w:right w:val="nil"/>
          <w:between w:val="nil"/>
        </w:pBdr>
        <w:spacing w:before="0" w:after="0"/>
        <w:ind w:right="0"/>
      </w:pPr>
      <w:r>
        <w:rPr>
          <w:i/>
          <w:iCs/>
        </w:rPr>
        <w:t>Q27:</w:t>
      </w:r>
      <w:r>
        <w:t xml:space="preserve"> "How can Market Systems Development (MSD) approaches be operationalized to transform systemic market functions without driving smallholders into debt, risk concentration, or corporate marginalization?"</w:t>
      </w:r>
    </w:p>
    <w:p w14:paraId="5B707285" w14:textId="77777777" w:rsidR="00FB019D" w:rsidRDefault="00000000">
      <w:pPr>
        <w:pStyle w:val="Heading3"/>
        <w:spacing w:after="320"/>
      </w:pPr>
      <w:r>
        <w:t>Expert Critique &amp; Systems-Thinking Analysis</w:t>
      </w:r>
    </w:p>
    <w:p w14:paraId="5B707286" w14:textId="77777777" w:rsidR="00FB019D" w:rsidRDefault="00000000">
      <w:pPr>
        <w:pBdr>
          <w:top w:val="nil"/>
          <w:left w:val="nil"/>
          <w:bottom w:val="nil"/>
          <w:right w:val="nil"/>
          <w:between w:val="nil"/>
        </w:pBdr>
        <w:spacing w:before="0" w:after="320"/>
        <w:ind w:left="0" w:right="0"/>
      </w:pPr>
      <w:r>
        <w:t xml:space="preserve">Adding </w:t>
      </w:r>
      <w:r>
        <w:rPr>
          <w:b/>
          <w:bCs/>
        </w:rPr>
        <w:t>Q26 (Connectivity)</w:t>
      </w:r>
      <w:r>
        <w:t xml:space="preserve"> and </w:t>
      </w:r>
      <w:r>
        <w:rPr>
          <w:b/>
          <w:bCs/>
        </w:rPr>
        <w:t>Q27 (Market Systems Development - MSD)</w:t>
      </w:r>
      <w:r>
        <w:t xml:space="preserve"> completes our governance framework by supplying the missing </w:t>
      </w:r>
      <w:r>
        <w:rPr>
          <w:b/>
          <w:bCs/>
        </w:rPr>
        <w:t>relational and structural mechanics</w:t>
      </w:r>
      <w:r>
        <w:t xml:space="preserve"> needed to turn abstract values into functioning, inclusive market networks.</w:t>
      </w:r>
    </w:p>
    <w:p w14:paraId="5B707287" w14:textId="77777777" w:rsidR="00FB019D" w:rsidRDefault="00000000">
      <w:pPr>
        <w:pBdr>
          <w:top w:val="nil"/>
          <w:left w:val="nil"/>
          <w:bottom w:val="nil"/>
          <w:right w:val="nil"/>
          <w:between w:val="nil"/>
        </w:pBdr>
        <w:spacing w:before="0" w:after="320"/>
        <w:ind w:left="0" w:right="0"/>
      </w:pPr>
      <w:r>
        <w:t>Let's unpack both questions systematically:</w:t>
      </w:r>
    </w:p>
    <w:p w14:paraId="5B707288" w14:textId="77777777" w:rsidR="00FB019D" w:rsidRDefault="00000000">
      <w:pPr>
        <w:pStyle w:val="Heading3"/>
        <w:spacing w:before="0" w:after="255"/>
      </w:pPr>
      <w:r>
        <w:t>1. Addressing Q26: Connectivity in Food Systems</w:t>
      </w:r>
    </w:p>
    <w:p w14:paraId="5B707289" w14:textId="77777777" w:rsidR="00FB019D" w:rsidRDefault="00000000">
      <w:pPr>
        <w:pStyle w:val="Heading4"/>
        <w:spacing w:before="0" w:after="320"/>
      </w:pPr>
      <w:r>
        <w:t>What is Connectivity?</w:t>
      </w:r>
    </w:p>
    <w:p w14:paraId="5B70728A" w14:textId="77777777" w:rsidR="00FB019D" w:rsidRDefault="00000000">
      <w:pPr>
        <w:pBdr>
          <w:top w:val="nil"/>
          <w:left w:val="nil"/>
          <w:bottom w:val="nil"/>
          <w:right w:val="nil"/>
          <w:between w:val="nil"/>
        </w:pBdr>
        <w:spacing w:before="0" w:after="320"/>
        <w:ind w:left="0" w:right="0"/>
      </w:pPr>
      <w:r>
        <w:t xml:space="preserve">In food systems transformation literature (e.g., HLPE reports; agroecological connectivity frameworks), </w:t>
      </w:r>
      <w:r>
        <w:rPr>
          <w:b/>
          <w:bCs/>
        </w:rPr>
        <w:t>connectivity</w:t>
      </w:r>
      <w:r>
        <w:t xml:space="preserve"> refers to the density, quality, and multi-directional flow of information, resources, trust, and power across three distinct dimensions:</w:t>
      </w:r>
    </w:p>
    <w:p w14:paraId="5B70728B" w14:textId="77777777" w:rsidR="00FB019D" w:rsidRDefault="00000000">
      <w:pPr>
        <w:numPr>
          <w:ilvl w:val="0"/>
          <w:numId w:val="146"/>
        </w:numPr>
        <w:pBdr>
          <w:top w:val="nil"/>
          <w:left w:val="nil"/>
          <w:bottom w:val="nil"/>
          <w:right w:val="nil"/>
          <w:between w:val="nil"/>
        </w:pBdr>
        <w:spacing w:before="0" w:after="0"/>
        <w:ind w:right="0"/>
      </w:pPr>
      <w:r>
        <w:rPr>
          <w:b/>
          <w:bCs/>
        </w:rPr>
        <w:t>Vertical Connectivity:</w:t>
      </w:r>
      <w:r>
        <w:t xml:space="preserve"> The linkages connecting producers, midstream aggregators, processors, retailers, and final consumers along a value chain.</w:t>
      </w:r>
    </w:p>
    <w:p w14:paraId="5B70728C" w14:textId="77777777" w:rsidR="00FB019D" w:rsidRDefault="00000000">
      <w:pPr>
        <w:numPr>
          <w:ilvl w:val="0"/>
          <w:numId w:val="146"/>
        </w:numPr>
        <w:pBdr>
          <w:top w:val="nil"/>
          <w:left w:val="nil"/>
          <w:bottom w:val="nil"/>
          <w:right w:val="nil"/>
          <w:between w:val="nil"/>
        </w:pBdr>
        <w:spacing w:before="0" w:after="0"/>
        <w:ind w:right="0"/>
      </w:pPr>
      <w:r>
        <w:rPr>
          <w:b/>
          <w:bCs/>
        </w:rPr>
        <w:t>Horizontal Connectivity:</w:t>
      </w:r>
      <w:r>
        <w:t xml:space="preserve"> Peer-to-peer linkages among smallholders, local communities, and cooperatives (social capital, mutual aid networks, PGS peer review).</w:t>
      </w:r>
    </w:p>
    <w:p w14:paraId="5B70728D" w14:textId="77777777" w:rsidR="00FB019D" w:rsidRDefault="00000000">
      <w:pPr>
        <w:numPr>
          <w:ilvl w:val="0"/>
          <w:numId w:val="146"/>
        </w:numPr>
        <w:pBdr>
          <w:top w:val="nil"/>
          <w:left w:val="nil"/>
          <w:bottom w:val="nil"/>
          <w:right w:val="nil"/>
          <w:between w:val="nil"/>
        </w:pBdr>
        <w:spacing w:before="0" w:after="0"/>
        <w:ind w:right="0"/>
      </w:pPr>
      <w:r>
        <w:rPr>
          <w:b/>
          <w:bCs/>
        </w:rPr>
        <w:t>Territorial / Diagonal Connectivity:</w:t>
      </w:r>
      <w:r>
        <w:t xml:space="preserve"> The integration between rural production zones and urban consumption centers, linking local governments, civil society, research institutes, and public institutions.</w:t>
      </w:r>
    </w:p>
    <w:p w14:paraId="5B70728E" w14:textId="77777777" w:rsidR="00FB019D" w:rsidRDefault="00000000">
      <w:pPr>
        <w:pStyle w:val="Heading4"/>
        <w:spacing w:after="320"/>
      </w:pPr>
      <w:r>
        <w:t>Why Must Connectivity Be Strengthened?</w:t>
      </w:r>
    </w:p>
    <w:p w14:paraId="5B70728F" w14:textId="77777777" w:rsidR="00FB019D" w:rsidRDefault="00000000">
      <w:pPr>
        <w:pBdr>
          <w:top w:val="nil"/>
          <w:left w:val="nil"/>
          <w:bottom w:val="nil"/>
          <w:right w:val="nil"/>
          <w:between w:val="nil"/>
        </w:pBdr>
        <w:spacing w:before="0" w:after="320"/>
        <w:ind w:left="0" w:right="0"/>
      </w:pPr>
      <w:r>
        <w:lastRenderedPageBreak/>
        <w:t xml:space="preserve">Without strong connectivity, sustainable food systems suffer from severe </w:t>
      </w:r>
      <w:r>
        <w:rPr>
          <w:b/>
          <w:bCs/>
        </w:rPr>
        <w:t>fragmentation and friction</w:t>
      </w:r>
      <w:r>
        <w:t>:</w:t>
      </w:r>
    </w:p>
    <w:p w14:paraId="5B707290" w14:textId="77777777" w:rsidR="00FB019D" w:rsidRDefault="00000000">
      <w:pPr>
        <w:numPr>
          <w:ilvl w:val="0"/>
          <w:numId w:val="147"/>
        </w:numPr>
        <w:pBdr>
          <w:top w:val="nil"/>
          <w:left w:val="nil"/>
          <w:bottom w:val="nil"/>
          <w:right w:val="nil"/>
          <w:between w:val="nil"/>
        </w:pBdr>
        <w:spacing w:before="0" w:after="0"/>
        <w:ind w:right="0"/>
      </w:pPr>
      <w:r>
        <w:t>Farmers operate as isolated price-takers with zero market visibility;</w:t>
      </w:r>
    </w:p>
    <w:p w14:paraId="5B707291" w14:textId="77777777" w:rsidR="00FB019D" w:rsidRDefault="00000000">
      <w:pPr>
        <w:numPr>
          <w:ilvl w:val="0"/>
          <w:numId w:val="147"/>
        </w:numPr>
        <w:pBdr>
          <w:top w:val="nil"/>
          <w:left w:val="nil"/>
          <w:bottom w:val="nil"/>
          <w:right w:val="nil"/>
          <w:between w:val="nil"/>
        </w:pBdr>
        <w:spacing w:before="0" w:after="0"/>
        <w:ind w:right="0"/>
      </w:pPr>
      <w:r>
        <w:t>Consumers face high information asymmetry (the "lemons" problem) regarding product safety and ecological authenticity;</w:t>
      </w:r>
    </w:p>
    <w:p w14:paraId="5B707292" w14:textId="77777777" w:rsidR="00FB019D" w:rsidRDefault="00000000">
      <w:pPr>
        <w:numPr>
          <w:ilvl w:val="0"/>
          <w:numId w:val="147"/>
        </w:numPr>
        <w:pBdr>
          <w:top w:val="nil"/>
          <w:left w:val="nil"/>
          <w:bottom w:val="nil"/>
          <w:right w:val="nil"/>
          <w:between w:val="nil"/>
        </w:pBdr>
        <w:spacing w:before="0" w:after="0"/>
        <w:ind w:right="0"/>
      </w:pPr>
      <w:r>
        <w:t>Subnational policies remain disconnected from actual grassroots farm realities.</w:t>
      </w:r>
    </w:p>
    <w:p w14:paraId="5B707293" w14:textId="77777777" w:rsidR="00FB019D" w:rsidRDefault="00000000">
      <w:pPr>
        <w:pStyle w:val="Heading4"/>
      </w:pPr>
      <w:r>
        <w:t>How to Strengthen Connectivity &amp; Link It with Values and Market Development</w:t>
      </w:r>
    </w:p>
    <w:p w14:paraId="5B707294" w14:textId="77777777" w:rsidR="00FB019D"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xml:space="preserve">                       ┌─────────────────────────────────────────┐</w:t>
      </w:r>
      <w:r>
        <w:rPr>
          <w:rFonts w:ascii="Courier" w:eastAsia="Courier" w:hAnsi="Courier" w:cs="Courier"/>
        </w:rPr>
        <w:br/>
        <w:t xml:space="preserve">                       │           SHARED VALUES                 │</w:t>
      </w:r>
      <w:r>
        <w:rPr>
          <w:rFonts w:ascii="Courier" w:eastAsia="Courier" w:hAnsi="Courier" w:cs="Courier"/>
        </w:rPr>
        <w:br/>
        <w:t xml:space="preserve">                       │ (Health, Trust, Stewardship, Fair Deal)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CONNECTIVITY BRIDGE            │</w:t>
      </w:r>
      <w:r>
        <w:rPr>
          <w:rFonts w:ascii="Courier" w:eastAsia="Courier" w:hAnsi="Courier" w:cs="Courier"/>
        </w:rPr>
        <w:br/>
        <w:t xml:space="preserve">                       │ (Horizontal + Vertical + Territorial)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MARKET DEVELOPMENT              │</w:t>
      </w:r>
      <w:r>
        <w:rPr>
          <w:rFonts w:ascii="Courier" w:eastAsia="Courier" w:hAnsi="Courier" w:cs="Courier"/>
        </w:rPr>
        <w:br/>
        <w:t xml:space="preserve">                       │ (Fair Margins, Stable Off-Take, Equity) │</w:t>
      </w:r>
      <w:r>
        <w:rPr>
          <w:rFonts w:ascii="Courier" w:eastAsia="Courier" w:hAnsi="Courier" w:cs="Courier"/>
        </w:rPr>
        <w:br/>
        <w:t xml:space="preserve">                       └─────────────────────────────────────────┘</w:t>
      </w:r>
      <w:r>
        <w:rPr>
          <w:rFonts w:ascii="Courier" w:eastAsia="Courier" w:hAnsi="Courier" w:cs="Courier"/>
        </w:rPr>
        <w:br/>
      </w:r>
    </w:p>
    <w:p w14:paraId="5B707295" w14:textId="77777777" w:rsidR="00FB019D" w:rsidRDefault="00000000">
      <w:pPr>
        <w:numPr>
          <w:ilvl w:val="0"/>
          <w:numId w:val="148"/>
        </w:numPr>
        <w:pBdr>
          <w:top w:val="nil"/>
          <w:left w:val="nil"/>
          <w:bottom w:val="nil"/>
          <w:right w:val="nil"/>
          <w:between w:val="nil"/>
        </w:pBdr>
        <w:spacing w:before="0" w:after="0"/>
        <w:ind w:right="0"/>
      </w:pPr>
      <w:r>
        <w:rPr>
          <w:b/>
          <w:bCs/>
        </w:rPr>
        <w:t>Connecting Values to Markets via Relational Infrastructure:</w:t>
      </w:r>
      <w:r>
        <w:t xml:space="preserve"> Values like trust, food safety, and ecological care cannot be commodified or verified through top-down paperwork alone. </w:t>
      </w:r>
      <w:r>
        <w:rPr>
          <w:b/>
          <w:bCs/>
        </w:rPr>
        <w:t>Connectivity acts as the operational bridge.</w:t>
      </w:r>
    </w:p>
    <w:p w14:paraId="5B707296" w14:textId="77777777" w:rsidR="00FB019D" w:rsidRDefault="00000000">
      <w:pPr>
        <w:numPr>
          <w:ilvl w:val="0"/>
          <w:numId w:val="148"/>
        </w:numPr>
        <w:pBdr>
          <w:top w:val="nil"/>
          <w:left w:val="nil"/>
          <w:bottom w:val="nil"/>
          <w:right w:val="nil"/>
          <w:between w:val="nil"/>
        </w:pBdr>
        <w:spacing w:before="0" w:after="0"/>
        <w:ind w:right="0"/>
      </w:pPr>
      <w:r>
        <w:rPr>
          <w:b/>
          <w:bCs/>
        </w:rPr>
        <w:t>Concrete Mechanisms:</w:t>
      </w:r>
    </w:p>
    <w:p w14:paraId="5B707297" w14:textId="77777777" w:rsidR="00FB019D" w:rsidRDefault="00000000">
      <w:pPr>
        <w:numPr>
          <w:ilvl w:val="1"/>
          <w:numId w:val="149"/>
        </w:numPr>
        <w:pBdr>
          <w:top w:val="nil"/>
          <w:left w:val="nil"/>
          <w:bottom w:val="nil"/>
          <w:right w:val="nil"/>
          <w:between w:val="nil"/>
        </w:pBdr>
        <w:spacing w:before="0" w:after="0"/>
        <w:ind w:right="0"/>
      </w:pPr>
      <w:r>
        <w:rPr>
          <w:i/>
          <w:iCs/>
        </w:rPr>
        <w:t>Lightweight Feedback Loops:</w:t>
      </w:r>
      <w:r>
        <w:t xml:space="preserve"> Utilizing Participatory Guarantee Systems (PGS) and direct-to-consumer digital channels (e.g., Zalo/TikTok direct cooperative storefronts) establishes direct, two-way communication where consumers see farm practices and farmers understand urban demand.</w:t>
      </w:r>
    </w:p>
    <w:p w14:paraId="5B707298" w14:textId="77777777" w:rsidR="00FB019D" w:rsidRDefault="00000000">
      <w:pPr>
        <w:numPr>
          <w:ilvl w:val="1"/>
          <w:numId w:val="149"/>
        </w:numPr>
        <w:pBdr>
          <w:top w:val="nil"/>
          <w:left w:val="nil"/>
          <w:bottom w:val="nil"/>
          <w:right w:val="nil"/>
          <w:between w:val="nil"/>
        </w:pBdr>
        <w:spacing w:before="0" w:after="0"/>
        <w:ind w:right="0"/>
      </w:pPr>
      <w:r>
        <w:rPr>
          <w:i/>
          <w:iCs/>
        </w:rPr>
        <w:t>Territorial Food Hubs:</w:t>
      </w:r>
      <w:r>
        <w:t xml:space="preserve"> Upgrading traditional wet markets (</w:t>
      </w:r>
      <w:r>
        <w:rPr>
          <w:i/>
          <w:iCs/>
        </w:rPr>
        <w:t>chợ</w:t>
      </w:r>
      <w:r>
        <w:t>) into connected "safe food nodes" links rural producer cooperatives directly to urban market vendors, anchoring shared values (</w:t>
      </w:r>
      <w:r>
        <w:rPr>
          <w:i/>
          <w:iCs/>
        </w:rPr>
        <w:t>thuận mua vừa bán</w:t>
      </w:r>
      <w:r>
        <w:t xml:space="preserve"> / mutual fair deal) into daily commercial routines.</w:t>
      </w:r>
    </w:p>
    <w:p w14:paraId="5B707299" w14:textId="77777777" w:rsidR="00FB019D" w:rsidRDefault="00000000">
      <w:pPr>
        <w:pStyle w:val="Heading3"/>
        <w:spacing w:after="255"/>
      </w:pPr>
      <w:r>
        <w:t>2. Addressing Q27: Market Systems Development (MSD) for Regenerative Agriculture</w:t>
      </w:r>
    </w:p>
    <w:p w14:paraId="5B70729A" w14:textId="77777777" w:rsidR="00FB019D" w:rsidRDefault="00000000">
      <w:pPr>
        <w:pStyle w:val="Heading4"/>
        <w:spacing w:before="0" w:after="320"/>
      </w:pPr>
      <w:r>
        <w:t>What is Market Systems Development (MSD)?</w:t>
      </w:r>
    </w:p>
    <w:p w14:paraId="5B70729B" w14:textId="77777777" w:rsidR="00FB019D" w:rsidRDefault="00000000">
      <w:pPr>
        <w:pBdr>
          <w:top w:val="nil"/>
          <w:left w:val="nil"/>
          <w:bottom w:val="nil"/>
          <w:right w:val="nil"/>
          <w:between w:val="nil"/>
        </w:pBdr>
        <w:spacing w:before="0" w:after="320"/>
        <w:ind w:left="0" w:right="0"/>
      </w:pPr>
      <w:r>
        <w:t xml:space="preserve">Unlike traditional interventions that simply hand out free inputs or act as direct buyers (which collapse when donor funding ends), </w:t>
      </w:r>
      <w:r>
        <w:rPr>
          <w:b/>
          <w:bCs/>
        </w:rPr>
        <w:t>Market Systems Development (MSD)</w:t>
      </w:r>
      <w:r>
        <w:t xml:space="preserve"> focuses on diagnosing and fixing underlying systemic market failures. It addresses </w:t>
      </w:r>
      <w:r>
        <w:rPr>
          <w:b/>
          <w:bCs/>
        </w:rPr>
        <w:t>supporting functions</w:t>
      </w:r>
      <w:r>
        <w:t xml:space="preserve"> (finance, information, logistics, technology) and </w:t>
      </w:r>
      <w:r>
        <w:rPr>
          <w:b/>
          <w:bCs/>
        </w:rPr>
        <w:t>rules/regulations</w:t>
      </w:r>
      <w:r>
        <w:t xml:space="preserve"> (standards, land policy, public procurement) so that market actors continue trading sustainably on commercial terms.</w:t>
      </w:r>
    </w:p>
    <w:p w14:paraId="5B70729C" w14:textId="77777777" w:rsidR="00FB019D" w:rsidRDefault="00000000">
      <w:pPr>
        <w:pStyle w:val="Heading4"/>
        <w:spacing w:before="0" w:after="320"/>
      </w:pPr>
      <w:r>
        <w:t>Operationalizing MSD for Regenerative Scaling in LMICs</w:t>
      </w:r>
    </w:p>
    <w:p w14:paraId="5B70729D" w14:textId="77777777" w:rsidR="00FB019D" w:rsidRDefault="00000000">
      <w:pPr>
        <w:pBdr>
          <w:top w:val="nil"/>
          <w:left w:val="nil"/>
          <w:bottom w:val="nil"/>
          <w:right w:val="nil"/>
          <w:between w:val="nil"/>
        </w:pBdr>
        <w:spacing w:before="0" w:after="320"/>
        <w:ind w:left="0" w:right="0"/>
      </w:pPr>
      <w:r>
        <w:lastRenderedPageBreak/>
        <w:t>To apply MSD without falling into corporate exploitation or debt traps for smallholders, interventions must operate across three core market pillars:</w:t>
      </w:r>
    </w:p>
    <w:p w14:paraId="5B70729E" w14:textId="77777777" w:rsidR="00FB019D" w:rsidRDefault="00000000">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w:t>
      </w:r>
      <w:r>
        <w:rPr>
          <w:rFonts w:ascii="Courier" w:eastAsia="Courier" w:hAnsi="Courier" w:cs="Courier"/>
        </w:rPr>
        <w:br/>
        <w:t>│                            RULES &amp; REGULATIONS                              │</w:t>
      </w:r>
      <w:r>
        <w:rPr>
          <w:rFonts w:ascii="Courier" w:eastAsia="Courier" w:hAnsi="Courier" w:cs="Courier"/>
        </w:rPr>
        <w:br/>
        <w:t>│  • Enshrine PGS &amp; Coop Rights in Law   • Mandate Public Procurement Quotas   │</w:t>
      </w:r>
      <w:r>
        <w:rPr>
          <w:rFonts w:ascii="Courier" w:eastAsia="Courier" w:hAnsi="Courier" w:cs="Courier"/>
        </w:rPr>
        <w:br/>
        <w: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t>│                             CORE MARKET CHAIN                               │</w:t>
      </w:r>
      <w:r>
        <w:rPr>
          <w:rFonts w:ascii="Courier" w:eastAsia="Courier" w:hAnsi="Courier" w:cs="Courier"/>
        </w:rPr>
        <w:br/>
        <w:t>│   Smallholders  ──►  Cooperative Hubs  ──►  Intermediaries  ──►  Consumers │</w:t>
      </w:r>
      <w:r>
        <w:rPr>
          <w:rFonts w:ascii="Courier" w:eastAsia="Courier" w:hAnsi="Courier" w:cs="Courier"/>
        </w:rPr>
        <w:br/>
        <w: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t>│                             SUPPORT FUNCTIONS                               │</w:t>
      </w:r>
      <w:r>
        <w:rPr>
          <w:rFonts w:ascii="Courier" w:eastAsia="Courier" w:hAnsi="Courier" w:cs="Courier"/>
        </w:rPr>
        <w:br/>
        <w:t>│  • Bio-Input Enterprise Hubs   • Blended Transition Credit   • Local Extension│</w:t>
      </w:r>
      <w:r>
        <w:rPr>
          <w:rFonts w:ascii="Courier" w:eastAsia="Courier" w:hAnsi="Courier" w:cs="Courier"/>
        </w:rPr>
        <w:br/>
        <w:t>└─────────────────────────────────────────────────────────────────────────────┘</w:t>
      </w:r>
      <w:r>
        <w:rPr>
          <w:rFonts w:ascii="Courier" w:eastAsia="Courier" w:hAnsi="Courier" w:cs="Courier"/>
        </w:rPr>
        <w:br/>
      </w:r>
    </w:p>
    <w:p w14:paraId="5B70729F" w14:textId="77777777" w:rsidR="00FB019D" w:rsidRDefault="00000000">
      <w:pPr>
        <w:numPr>
          <w:ilvl w:val="0"/>
          <w:numId w:val="150"/>
        </w:numPr>
        <w:pBdr>
          <w:top w:val="nil"/>
          <w:left w:val="nil"/>
          <w:bottom w:val="nil"/>
          <w:right w:val="nil"/>
          <w:between w:val="nil"/>
        </w:pBdr>
        <w:spacing w:before="0" w:after="0"/>
        <w:ind w:right="0"/>
      </w:pPr>
      <w:r>
        <w:rPr>
          <w:b/>
          <w:bCs/>
        </w:rPr>
        <w:t>Transforming Supporting Functions (Local Commercial Infrastructure):</w:t>
      </w:r>
    </w:p>
    <w:p w14:paraId="5B7072A0" w14:textId="77777777" w:rsidR="00FB019D" w:rsidRDefault="00000000">
      <w:pPr>
        <w:numPr>
          <w:ilvl w:val="1"/>
          <w:numId w:val="151"/>
        </w:numPr>
        <w:pBdr>
          <w:top w:val="nil"/>
          <w:left w:val="nil"/>
          <w:bottom w:val="nil"/>
          <w:right w:val="nil"/>
          <w:between w:val="nil"/>
        </w:pBdr>
        <w:spacing w:before="0" w:after="0"/>
        <w:ind w:right="0"/>
      </w:pPr>
      <w:r>
        <w:rPr>
          <w:i/>
          <w:iCs/>
        </w:rPr>
        <w:t>Commercializing Bio-Inputs:</w:t>
      </w:r>
      <w:r>
        <w:t xml:space="preserve"> Support local rural youth entrepreneurs to establish self-sustaining bio-fertilizer and bio-pesticide production hubs. This makes regenerative inputs locally available and affordable without relying on perpetual state or donor handouts.</w:t>
      </w:r>
    </w:p>
    <w:p w14:paraId="5B7072A1" w14:textId="77777777" w:rsidR="00FB019D" w:rsidRDefault="00000000">
      <w:pPr>
        <w:numPr>
          <w:ilvl w:val="1"/>
          <w:numId w:val="151"/>
        </w:numPr>
        <w:pBdr>
          <w:top w:val="nil"/>
          <w:left w:val="nil"/>
          <w:bottom w:val="nil"/>
          <w:right w:val="nil"/>
          <w:between w:val="nil"/>
        </w:pBdr>
        <w:spacing w:before="0" w:after="0"/>
        <w:ind w:right="0"/>
      </w:pPr>
      <w:r>
        <w:rPr>
          <w:i/>
          <w:iCs/>
        </w:rPr>
        <w:t>De-risking Transition Capital:</w:t>
      </w:r>
      <w:r>
        <w:t xml:space="preserve"> Instead of individual micro-finance loans that burden farmers with debt, structure MSD finance through </w:t>
      </w:r>
      <w:r>
        <w:rPr>
          <w:b/>
          <w:bCs/>
        </w:rPr>
        <w:t>cooperative-led guarantee funds</w:t>
      </w:r>
      <w:r>
        <w:t xml:space="preserve"> and blended transition vouchers that cushion the initial yield trough.</w:t>
      </w:r>
    </w:p>
    <w:p w14:paraId="5B7072A2" w14:textId="77777777" w:rsidR="00FB019D" w:rsidRDefault="00000000">
      <w:pPr>
        <w:numPr>
          <w:ilvl w:val="0"/>
          <w:numId w:val="150"/>
        </w:numPr>
        <w:pBdr>
          <w:top w:val="nil"/>
          <w:left w:val="nil"/>
          <w:bottom w:val="nil"/>
          <w:right w:val="nil"/>
          <w:between w:val="nil"/>
        </w:pBdr>
        <w:spacing w:before="0" w:after="0"/>
        <w:ind w:right="0"/>
      </w:pPr>
      <w:r>
        <w:rPr>
          <w:b/>
          <w:bCs/>
        </w:rPr>
        <w:t>Reforming Systemic Rules &amp; Standards:</w:t>
      </w:r>
    </w:p>
    <w:p w14:paraId="5B7072A3" w14:textId="77777777" w:rsidR="00FB019D" w:rsidRDefault="00000000">
      <w:pPr>
        <w:numPr>
          <w:ilvl w:val="1"/>
          <w:numId w:val="152"/>
        </w:numPr>
        <w:pBdr>
          <w:top w:val="nil"/>
          <w:left w:val="nil"/>
          <w:bottom w:val="nil"/>
          <w:right w:val="nil"/>
          <w:between w:val="nil"/>
        </w:pBdr>
        <w:spacing w:before="0" w:after="0"/>
        <w:ind w:right="0"/>
      </w:pPr>
      <w:r>
        <w:t>Legally recognizing low-cost verification (PGS / CamGAP / VietGAP harmonization) within public food safety regulations so that smallholders can clear formal market access barriers.</w:t>
      </w:r>
    </w:p>
    <w:p w14:paraId="5B7072A4" w14:textId="77777777" w:rsidR="00FB019D" w:rsidRDefault="00000000">
      <w:pPr>
        <w:numPr>
          <w:ilvl w:val="1"/>
          <w:numId w:val="152"/>
        </w:numPr>
        <w:pBdr>
          <w:top w:val="nil"/>
          <w:left w:val="nil"/>
          <w:bottom w:val="nil"/>
          <w:right w:val="nil"/>
          <w:between w:val="nil"/>
        </w:pBdr>
        <w:spacing w:before="0" w:after="0"/>
        <w:ind w:right="0"/>
      </w:pPr>
      <w:r>
        <w:t>Leveraging state institutional demand (home-grown school feeding) to establish guaranteed market anchors that crowd in private midstream investment.</w:t>
      </w:r>
    </w:p>
    <w:p w14:paraId="5B7072A5" w14:textId="77777777" w:rsidR="00FB019D" w:rsidRDefault="00000000">
      <w:pPr>
        <w:numPr>
          <w:ilvl w:val="0"/>
          <w:numId w:val="150"/>
        </w:numPr>
        <w:pBdr>
          <w:top w:val="nil"/>
          <w:left w:val="nil"/>
          <w:bottom w:val="nil"/>
          <w:right w:val="nil"/>
          <w:between w:val="nil"/>
        </w:pBdr>
        <w:spacing w:before="0" w:after="0"/>
        <w:ind w:right="0"/>
      </w:pPr>
      <w:r>
        <w:rPr>
          <w:b/>
          <w:bCs/>
        </w:rPr>
        <w:t>Incentivizing Midstream Intermediaries:</w:t>
      </w:r>
    </w:p>
    <w:p w14:paraId="5B7072A6" w14:textId="77777777" w:rsidR="00FB019D" w:rsidRDefault="00000000">
      <w:pPr>
        <w:numPr>
          <w:ilvl w:val="1"/>
          <w:numId w:val="153"/>
        </w:numPr>
        <w:pBdr>
          <w:top w:val="nil"/>
          <w:left w:val="nil"/>
          <w:bottom w:val="nil"/>
          <w:right w:val="nil"/>
          <w:between w:val="nil"/>
        </w:pBdr>
        <w:spacing w:before="0" w:after="0"/>
        <w:ind w:right="0"/>
      </w:pPr>
      <w:r>
        <w:t>Restructure the role of local collectors and traders. Instead of squeezing them out, integrate them as certified aggregation partners who earn service fees for delivering verified, residue-free produce to urban markets.</w:t>
      </w:r>
    </w:p>
    <w:p w14:paraId="5B7072A7" w14:textId="77777777" w:rsidR="00FB019D" w:rsidRDefault="00000000">
      <w:pPr>
        <w:pStyle w:val="Heading3"/>
      </w:pPr>
      <w:r>
        <w:t>Summary of Q26 &amp; Q27 in the Master Framework</w:t>
      </w:r>
    </w:p>
    <w:p w14:paraId="5B7072A8" w14:textId="77777777" w:rsidR="00FB019D" w:rsidRDefault="00FB019D">
      <w:pPr>
        <w:pBdr>
          <w:top w:val="nil"/>
          <w:left w:val="nil"/>
          <w:bottom w:val="nil"/>
          <w:right w:val="nil"/>
          <w:between w:val="nil"/>
        </w:pBdr>
        <w:spacing w:before="0" w:after="320"/>
        <w:ind w:left="0" w:right="0"/>
        <w:rPr>
          <w:b/>
          <w:bCs/>
          <w:sz w:val="28"/>
          <w:szCs w:val="28"/>
        </w:rPr>
      </w:pPr>
    </w:p>
    <w:tbl>
      <w:tblPr>
        <w:tblStyle w:val="a2"/>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2340"/>
        <w:gridCol w:w="2340"/>
        <w:gridCol w:w="2340"/>
        <w:gridCol w:w="2340"/>
      </w:tblGrid>
      <w:tr w:rsidR="00FB019D" w14:paraId="5B7072AD" w14:textId="77777777">
        <w:trPr>
          <w:tblHeader/>
        </w:trPr>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A9" w14:textId="77777777" w:rsidR="00FB019D" w:rsidRDefault="00000000">
            <w:pPr>
              <w:pBdr>
                <w:top w:val="nil"/>
                <w:left w:val="nil"/>
                <w:bottom w:val="nil"/>
                <w:right w:val="nil"/>
                <w:between w:val="nil"/>
              </w:pBdr>
              <w:spacing w:before="180" w:after="180"/>
              <w:ind w:left="0" w:right="0"/>
              <w:rPr>
                <w:b/>
                <w:bCs/>
              </w:rPr>
            </w:pPr>
            <w:r>
              <w:rPr>
                <w:b/>
                <w:bCs/>
              </w:rPr>
              <w:t>Question</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AA" w14:textId="77777777" w:rsidR="00FB019D" w:rsidRDefault="00000000">
            <w:pPr>
              <w:pBdr>
                <w:top w:val="nil"/>
                <w:left w:val="nil"/>
                <w:bottom w:val="nil"/>
                <w:right w:val="nil"/>
                <w:between w:val="nil"/>
              </w:pBdr>
              <w:spacing w:before="180" w:after="180"/>
              <w:ind w:left="0" w:right="0"/>
              <w:rPr>
                <w:b/>
                <w:bCs/>
              </w:rPr>
            </w:pPr>
            <w:r>
              <w:rPr>
                <w:b/>
                <w:bCs/>
              </w:rPr>
              <w:t>Core Concept</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AB" w14:textId="77777777" w:rsidR="00FB019D" w:rsidRDefault="00000000">
            <w:pPr>
              <w:pBdr>
                <w:top w:val="nil"/>
                <w:left w:val="nil"/>
                <w:bottom w:val="nil"/>
                <w:right w:val="nil"/>
                <w:between w:val="nil"/>
              </w:pBdr>
              <w:spacing w:before="180" w:after="180"/>
              <w:ind w:left="0" w:right="0"/>
              <w:rPr>
                <w:b/>
                <w:bCs/>
              </w:rPr>
            </w:pPr>
            <w:r>
              <w:rPr>
                <w:b/>
                <w:bCs/>
              </w:rPr>
              <w:t>Strategic Function in Scaling RA</w:t>
            </w:r>
          </w:p>
        </w:tc>
        <w:tc>
          <w:tcPr>
            <w:tcW w:w="2340" w:type="dxa"/>
            <w:tcBorders>
              <w:top w:val="single" w:sz="6" w:space="0" w:color="DCDCDC"/>
              <w:left w:val="single" w:sz="6" w:space="0" w:color="DCDCDC"/>
              <w:bottom w:val="single" w:sz="6" w:space="0" w:color="DCDCDC"/>
              <w:right w:val="single" w:sz="6" w:space="0" w:color="DCDCDC"/>
            </w:tcBorders>
            <w:tcMar>
              <w:top w:w="180" w:type="dxa"/>
              <w:left w:w="120" w:type="dxa"/>
              <w:bottom w:w="180" w:type="dxa"/>
              <w:right w:w="120" w:type="dxa"/>
            </w:tcMar>
          </w:tcPr>
          <w:p w14:paraId="5B7072AC" w14:textId="77777777" w:rsidR="00FB019D" w:rsidRDefault="00000000">
            <w:pPr>
              <w:pBdr>
                <w:top w:val="nil"/>
                <w:left w:val="nil"/>
                <w:bottom w:val="nil"/>
                <w:right w:val="nil"/>
                <w:between w:val="nil"/>
              </w:pBdr>
              <w:spacing w:before="180" w:after="180"/>
              <w:ind w:left="0" w:right="0"/>
              <w:rPr>
                <w:b/>
                <w:bCs/>
              </w:rPr>
            </w:pPr>
            <w:r>
              <w:rPr>
                <w:b/>
                <w:bCs/>
              </w:rPr>
              <w:t>Key Policy / Implementation Mechanism</w:t>
            </w:r>
          </w:p>
        </w:tc>
      </w:tr>
      <w:tr w:rsidR="00FB019D" w14:paraId="5B7072B2"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AE" w14:textId="77777777" w:rsidR="00FB019D" w:rsidRDefault="00000000">
            <w:pPr>
              <w:pBdr>
                <w:top w:val="nil"/>
                <w:left w:val="nil"/>
                <w:bottom w:val="nil"/>
                <w:right w:val="nil"/>
                <w:between w:val="nil"/>
              </w:pBdr>
              <w:spacing w:before="120" w:after="120"/>
              <w:ind w:left="0" w:right="0"/>
              <w:rPr>
                <w:b/>
                <w:bCs/>
              </w:rPr>
            </w:pPr>
            <w:r>
              <w:rPr>
                <w:b/>
                <w:bCs/>
              </w:rPr>
              <w:t>Q26: Connectivity</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AF" w14:textId="77777777" w:rsidR="00FB019D" w:rsidRDefault="00000000">
            <w:pPr>
              <w:pBdr>
                <w:top w:val="nil"/>
                <w:left w:val="nil"/>
                <w:bottom w:val="nil"/>
                <w:right w:val="nil"/>
                <w:between w:val="nil"/>
              </w:pBdr>
              <w:spacing w:before="120" w:after="120"/>
              <w:ind w:left="0" w:right="0"/>
            </w:pPr>
            <w:r>
              <w:t xml:space="preserve">Multi-dimensional relational density (vertical, horizontal, </w:t>
            </w:r>
            <w:r>
              <w:lastRenderedPageBreak/>
              <w:t>territorial).</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B0" w14:textId="77777777" w:rsidR="00FB019D" w:rsidRDefault="00000000">
            <w:pPr>
              <w:pBdr>
                <w:top w:val="nil"/>
                <w:left w:val="nil"/>
                <w:bottom w:val="nil"/>
                <w:right w:val="nil"/>
                <w:between w:val="nil"/>
              </w:pBdr>
              <w:spacing w:before="120" w:after="120"/>
              <w:ind w:left="0" w:right="0"/>
            </w:pPr>
            <w:r>
              <w:lastRenderedPageBreak/>
              <w:t xml:space="preserve">Translates shared normative values (trust, health) into functional market </w:t>
            </w:r>
            <w:r>
              <w:lastRenderedPageBreak/>
              <w:t>trust and lower transaction costs.</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B1" w14:textId="77777777" w:rsidR="00FB019D" w:rsidRDefault="00000000">
            <w:pPr>
              <w:pBdr>
                <w:top w:val="nil"/>
                <w:left w:val="nil"/>
                <w:bottom w:val="nil"/>
                <w:right w:val="nil"/>
                <w:between w:val="nil"/>
              </w:pBdr>
              <w:spacing w:before="120" w:after="120"/>
              <w:ind w:left="0" w:right="0"/>
            </w:pPr>
            <w:r>
              <w:lastRenderedPageBreak/>
              <w:t xml:space="preserve">PGS peer networks, direct cooperative-to-vendor feedback loops, and upgraded </w:t>
            </w:r>
            <w:r>
              <w:lastRenderedPageBreak/>
              <w:t>wet-market hubs.</w:t>
            </w:r>
          </w:p>
        </w:tc>
      </w:tr>
      <w:tr w:rsidR="00FB019D" w14:paraId="5B7072B7" w14:textId="77777777">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B3" w14:textId="77777777" w:rsidR="00FB019D" w:rsidRDefault="00000000">
            <w:pPr>
              <w:pBdr>
                <w:top w:val="nil"/>
                <w:left w:val="nil"/>
                <w:bottom w:val="nil"/>
                <w:right w:val="nil"/>
                <w:between w:val="nil"/>
              </w:pBdr>
              <w:spacing w:before="120" w:after="120"/>
              <w:ind w:left="0" w:right="0"/>
              <w:rPr>
                <w:b/>
                <w:bCs/>
              </w:rPr>
            </w:pPr>
            <w:r>
              <w:rPr>
                <w:b/>
                <w:bCs/>
              </w:rPr>
              <w:lastRenderedPageBreak/>
              <w:t>Q27: Market Systems Development (MSD)</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B4" w14:textId="77777777" w:rsidR="00FB019D" w:rsidRDefault="00000000">
            <w:pPr>
              <w:pBdr>
                <w:top w:val="nil"/>
                <w:left w:val="nil"/>
                <w:bottom w:val="nil"/>
                <w:right w:val="nil"/>
                <w:between w:val="nil"/>
              </w:pBdr>
              <w:spacing w:before="120" w:after="120"/>
              <w:ind w:left="0" w:right="0"/>
            </w:pPr>
            <w:r>
              <w:t>Tackling underlying market functions, supporting services, and rules.</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B5" w14:textId="77777777" w:rsidR="00FB019D" w:rsidRDefault="00000000">
            <w:pPr>
              <w:pBdr>
                <w:top w:val="nil"/>
                <w:left w:val="nil"/>
                <w:bottom w:val="nil"/>
                <w:right w:val="nil"/>
                <w:between w:val="nil"/>
              </w:pBdr>
              <w:spacing w:before="120" w:after="120"/>
              <w:ind w:left="0" w:right="0"/>
            </w:pPr>
            <w:r>
              <w:t>Ensures long-term economic sustainability without permanent subsidy dependence or corporate capture.</w:t>
            </w:r>
          </w:p>
        </w:tc>
        <w:tc>
          <w:tcPr>
            <w:tcW w:w="2340" w:type="dxa"/>
            <w:tcBorders>
              <w:top w:val="single" w:sz="6" w:space="0" w:color="DCDCDC"/>
              <w:left w:val="single" w:sz="6" w:space="0" w:color="DCDCDC"/>
              <w:bottom w:val="single" w:sz="6" w:space="0" w:color="DCDCDC"/>
              <w:right w:val="single" w:sz="6" w:space="0" w:color="DCDCDC"/>
            </w:tcBorders>
            <w:tcMar>
              <w:top w:w="120" w:type="dxa"/>
              <w:left w:w="120" w:type="dxa"/>
              <w:bottom w:w="120" w:type="dxa"/>
              <w:right w:w="120" w:type="dxa"/>
            </w:tcMar>
          </w:tcPr>
          <w:p w14:paraId="5B7072B6" w14:textId="77777777" w:rsidR="00FB019D" w:rsidRDefault="00000000">
            <w:pPr>
              <w:pBdr>
                <w:top w:val="nil"/>
                <w:left w:val="nil"/>
                <w:bottom w:val="nil"/>
                <w:right w:val="nil"/>
                <w:between w:val="nil"/>
              </w:pBdr>
              <w:spacing w:before="120" w:after="120"/>
              <w:ind w:left="0" w:right="0"/>
            </w:pPr>
            <w:r>
              <w:t>Youth bio-input hubs, cooperative guarantee funds, public procurement anchors, and aligned land/certification rules.</w:t>
            </w:r>
          </w:p>
        </w:tc>
      </w:tr>
    </w:tbl>
    <w:p w14:paraId="5B7072B8" w14:textId="77777777" w:rsidR="00FB019D" w:rsidRDefault="00000000">
      <w:pPr>
        <w:pBdr>
          <w:top w:val="nil"/>
          <w:left w:val="nil"/>
          <w:bottom w:val="nil"/>
          <w:right w:val="nil"/>
          <w:between w:val="nil"/>
        </w:pBdr>
        <w:spacing w:before="0" w:after="320"/>
        <w:ind w:left="0" w:right="0"/>
      </w:pPr>
      <w:r>
        <w:t xml:space="preserve">We have now systematically completed the full </w:t>
      </w:r>
      <w:r>
        <w:rPr>
          <w:b/>
          <w:bCs/>
        </w:rPr>
        <w:t>Q1–Q27 synthesis</w:t>
      </w:r>
      <w:r>
        <w:t>!</w:t>
      </w:r>
    </w:p>
    <w:p w14:paraId="5B7072B9" w14:textId="77777777" w:rsidR="00FB019D" w:rsidRDefault="00000000">
      <w:pPr>
        <w:pBdr>
          <w:top w:val="nil"/>
          <w:left w:val="nil"/>
          <w:bottom w:val="nil"/>
          <w:right w:val="nil"/>
          <w:between w:val="nil"/>
        </w:pBdr>
        <w:spacing w:before="0" w:after="320"/>
        <w:ind w:left="0" w:right="0"/>
      </w:pPr>
      <w:r>
        <w:t>How would you like to use this complete 27-question framework—shall we structure it into a comprehensive policy manual, an academic paper outline, or a strategic briefing for subnational and regional decision-makers?</w:t>
      </w:r>
    </w:p>
    <w:p w14:paraId="5B7072BA" w14:textId="77777777" w:rsidR="00FB019D" w:rsidRDefault="00000000">
      <w:pPr>
        <w:pBdr>
          <w:top w:val="nil"/>
          <w:left w:val="nil"/>
          <w:bottom w:val="nil"/>
          <w:right w:val="nil"/>
          <w:between w:val="nil"/>
        </w:pBdr>
        <w:spacing w:before="0" w:after="0"/>
        <w:ind w:left="0" w:right="0"/>
      </w:pPr>
      <w:r>
        <w:pict w14:anchorId="5B7072F9">
          <v:rect id="_x0000_i1053" style="width:0;height:1.5pt" o:hralign="center" o:hrstd="t" o:hr="t" fillcolor="#a0a0a0" stroked="f"/>
        </w:pict>
      </w:r>
    </w:p>
    <w:p w14:paraId="5B7072BB"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Now produce a Q&amp;A report with the summary of all questions and answers in the beginning, then later add any detailed discussion, extra information, case studies etc. Put it to my Google Drive</w:t>
      </w:r>
    </w:p>
    <w:p w14:paraId="5B7072BC" w14:textId="77777777" w:rsidR="00FB019D" w:rsidRDefault="00000000">
      <w:pPr>
        <w:pBdr>
          <w:top w:val="nil"/>
          <w:left w:val="nil"/>
          <w:bottom w:val="nil"/>
          <w:right w:val="nil"/>
          <w:between w:val="nil"/>
        </w:pBdr>
        <w:spacing w:before="0" w:after="320"/>
        <w:ind w:left="0" w:right="0"/>
      </w:pPr>
      <w:r>
        <w:t>Response: I have compiled our complete 27-question framework into a structured Q&amp;A report featuring the executive summary and Q&amp;A overview at the beginning, followed by detailed synthesis, comparative case studies, and systems-thinking analyses.</w:t>
      </w:r>
    </w:p>
    <w:p w14:paraId="5B7072BD" w14:textId="77777777" w:rsidR="00FB019D" w:rsidRDefault="00000000">
      <w:pPr>
        <w:pBdr>
          <w:top w:val="nil"/>
          <w:left w:val="nil"/>
          <w:bottom w:val="nil"/>
          <w:right w:val="nil"/>
          <w:between w:val="nil"/>
        </w:pBdr>
        <w:spacing w:before="0" w:after="320"/>
        <w:ind w:left="0" w:right="0"/>
      </w:pPr>
      <w:r>
        <w:t>The report has been successfully created and saved to your Google Drive:</w:t>
      </w:r>
    </w:p>
    <w:p w14:paraId="5B7072BE" w14:textId="77777777" w:rsidR="00FB019D" w:rsidRDefault="00000000">
      <w:pPr>
        <w:pBdr>
          <w:top w:val="nil"/>
          <w:left w:val="nil"/>
          <w:bottom w:val="nil"/>
          <w:right w:val="nil"/>
          <w:between w:val="nil"/>
        </w:pBdr>
        <w:spacing w:before="0" w:after="320"/>
        <w:ind w:left="0" w:right="0"/>
        <w:rPr>
          <w:color w:val="0000EE"/>
          <w:u w:val="single"/>
        </w:rPr>
      </w:pPr>
      <w:hyperlink r:id="rId8">
        <w:r>
          <w:rPr>
            <w:color w:val="0000EE"/>
            <w:u w:val="single"/>
          </w:rPr>
          <w:t>Regenerative_Agriculture_Policy_Framework_ASEAN_LMIC.md</w:t>
        </w:r>
      </w:hyperlink>
    </w:p>
    <w:p w14:paraId="5B7072BF" w14:textId="77777777" w:rsidR="00FB019D" w:rsidRDefault="00000000">
      <w:pPr>
        <w:pBdr>
          <w:top w:val="nil"/>
          <w:left w:val="nil"/>
          <w:bottom w:val="nil"/>
          <w:right w:val="nil"/>
          <w:between w:val="nil"/>
        </w:pBdr>
        <w:spacing w:before="0" w:after="320"/>
        <w:ind w:left="0" w:right="0"/>
      </w:pPr>
      <w:r>
        <w:t>[file-tag: drive-uploaded-file-1CV9P51nPa8SINXFGSgsyLAGn4MnQddA5GAvvI0r1_II]</w:t>
      </w:r>
    </w:p>
    <w:p w14:paraId="5B7072C0" w14:textId="77777777" w:rsidR="00FB019D" w:rsidRDefault="00000000">
      <w:pPr>
        <w:pBdr>
          <w:top w:val="nil"/>
          <w:left w:val="nil"/>
          <w:bottom w:val="nil"/>
          <w:right w:val="nil"/>
          <w:between w:val="nil"/>
        </w:pBdr>
        <w:spacing w:before="0" w:after="0"/>
        <w:ind w:left="0" w:right="0"/>
      </w:pPr>
      <w:r>
        <w:pict w14:anchorId="5B7072FA">
          <v:rect id="_x0000_i1054" style="width:0;height:1.5pt" o:hralign="center" o:hrstd="t" o:hr="t" fillcolor="#a0a0a0" stroked="f"/>
        </w:pict>
      </w:r>
    </w:p>
    <w:p w14:paraId="5B7072C1" w14:textId="77777777" w:rsidR="00FB019D" w:rsidRDefault="00000000">
      <w:pPr>
        <w:pBdr>
          <w:top w:val="nil"/>
          <w:left w:val="nil"/>
          <w:bottom w:val="nil"/>
          <w:right w:val="nil"/>
          <w:between w:val="nil"/>
        </w:pBdr>
        <w:spacing w:before="320" w:after="320"/>
        <w:ind w:left="0" w:right="0"/>
        <w:rPr>
          <w:i/>
          <w:iCs/>
          <w:color w:val="808080"/>
        </w:rPr>
      </w:pPr>
      <w:r>
        <w:rPr>
          <w:i/>
          <w:iCs/>
          <w:color w:val="808080"/>
        </w:rPr>
        <w:t>User prompt: It cannot be that short. Utilize everything we have discussed so far in this chat.</w:t>
      </w:r>
    </w:p>
    <w:p w14:paraId="5B7072C2" w14:textId="77777777" w:rsidR="00FB019D" w:rsidRDefault="00000000">
      <w:pPr>
        <w:pBdr>
          <w:top w:val="nil"/>
          <w:left w:val="nil"/>
          <w:bottom w:val="nil"/>
          <w:right w:val="nil"/>
          <w:between w:val="nil"/>
        </w:pBdr>
        <w:spacing w:before="0" w:after="320"/>
        <w:ind w:left="0" w:right="0"/>
      </w:pPr>
      <w:r>
        <w:t>Response: I have updated the document in your Google Drive to incorporate our entire discussion across all 27 questions.</w:t>
      </w:r>
    </w:p>
    <w:p w14:paraId="5B7072C3" w14:textId="77777777" w:rsidR="00FB019D" w:rsidRDefault="00000000">
      <w:pPr>
        <w:pBdr>
          <w:top w:val="nil"/>
          <w:left w:val="nil"/>
          <w:bottom w:val="nil"/>
          <w:right w:val="nil"/>
          <w:between w:val="nil"/>
        </w:pBdr>
        <w:spacing w:before="0" w:after="320"/>
        <w:ind w:left="0" w:right="0"/>
        <w:rPr>
          <w:color w:val="0000EE"/>
          <w:u w:val="single"/>
        </w:rPr>
      </w:pPr>
      <w:hyperlink r:id="rId9">
        <w:r>
          <w:rPr>
            <w:color w:val="0000EE"/>
            <w:u w:val="single"/>
          </w:rPr>
          <w:t>Regenerative_Agriculture_Policy_Framework_ASEAN_LMIC.md</w:t>
        </w:r>
      </w:hyperlink>
    </w:p>
    <w:p w14:paraId="5B7072C4" w14:textId="77777777" w:rsidR="00FB019D" w:rsidRDefault="00000000">
      <w:pPr>
        <w:pBdr>
          <w:top w:val="nil"/>
          <w:left w:val="nil"/>
          <w:bottom w:val="nil"/>
          <w:right w:val="nil"/>
          <w:between w:val="nil"/>
        </w:pBdr>
        <w:spacing w:before="0" w:after="320"/>
        <w:ind w:left="0" w:right="0"/>
      </w:pPr>
      <w:r>
        <w:t>[file-tag: drive-uploaded-file-1CV9P51nPa8SINXFGSgsyLAGn4MnQddA5GAvvI0r1_II]</w:t>
      </w:r>
    </w:p>
    <w:p w14:paraId="5B7072C5" w14:textId="77777777" w:rsidR="00FB019D" w:rsidRDefault="00000000">
      <w:pPr>
        <w:pStyle w:val="Heading3"/>
        <w:spacing w:before="0" w:after="255"/>
      </w:pPr>
      <w:r>
        <w:lastRenderedPageBreak/>
        <w:t>Overview of the Master Synthesis Report</w:t>
      </w:r>
    </w:p>
    <w:p w14:paraId="5B7072C6" w14:textId="77777777" w:rsidR="00FB019D" w:rsidRDefault="00000000">
      <w:pPr>
        <w:pStyle w:val="Heading4"/>
        <w:spacing w:before="0" w:after="320"/>
      </w:pPr>
      <w:r>
        <w:t>Section 1: Executive Summary &amp; Master Q&amp;A Directory (Q1–Q27)</w:t>
      </w:r>
    </w:p>
    <w:p w14:paraId="5B7072C7" w14:textId="77777777" w:rsidR="00FB019D" w:rsidRDefault="00000000">
      <w:pPr>
        <w:pBdr>
          <w:top w:val="nil"/>
          <w:left w:val="nil"/>
          <w:bottom w:val="nil"/>
          <w:right w:val="nil"/>
          <w:between w:val="nil"/>
        </w:pBdr>
        <w:spacing w:before="0" w:after="320"/>
        <w:ind w:left="0" w:right="0"/>
      </w:pPr>
      <w:r>
        <w:t>A complete directory summarizing the strategic answers for all 27 questions, covering:</w:t>
      </w:r>
    </w:p>
    <w:p w14:paraId="5B7072C8" w14:textId="77777777" w:rsidR="00FB019D" w:rsidRDefault="00000000">
      <w:pPr>
        <w:numPr>
          <w:ilvl w:val="0"/>
          <w:numId w:val="155"/>
        </w:numPr>
        <w:pBdr>
          <w:top w:val="nil"/>
          <w:left w:val="nil"/>
          <w:bottom w:val="nil"/>
          <w:right w:val="nil"/>
          <w:between w:val="nil"/>
        </w:pBdr>
        <w:spacing w:before="0" w:after="0"/>
        <w:ind w:right="0"/>
      </w:pPr>
      <w:r>
        <w:rPr>
          <w:b/>
          <w:bCs/>
        </w:rPr>
        <w:t>Q1–Q7:</w:t>
      </w:r>
      <w:r>
        <w:t xml:space="preserve"> Multi-sectoral policy alignment, ASEAN GAP harmonization, soft-law dynamics, public procurement anchors (school feeding), three-phase policy sequencing, transition de-risking, and cooperative value capture.</w:t>
      </w:r>
    </w:p>
    <w:p w14:paraId="5B7072C9" w14:textId="77777777" w:rsidR="00FB019D" w:rsidRDefault="00000000">
      <w:pPr>
        <w:numPr>
          <w:ilvl w:val="0"/>
          <w:numId w:val="155"/>
        </w:numPr>
        <w:pBdr>
          <w:top w:val="nil"/>
          <w:left w:val="nil"/>
          <w:bottom w:val="nil"/>
          <w:right w:val="nil"/>
          <w:between w:val="nil"/>
        </w:pBdr>
        <w:spacing w:before="0" w:after="0"/>
        <w:ind w:right="0"/>
      </w:pPr>
      <w:r>
        <w:rPr>
          <w:b/>
          <w:bCs/>
        </w:rPr>
        <w:t>Q8–Q16:</w:t>
      </w:r>
      <w:r>
        <w:t xml:space="preserve"> Information asymmetry and the "lemons" problem, Participatory Guarantee Systems (PGS) vs. export group-certification, system diversification (rice-fish-vegetable) over monoculture certification, behavioral choice architecture and nudges (citing Cadario &amp; Chandon, Mertens et al., Lohmann et al.), price elasticity dynamics (~15–20% threshold), case studies of Thailand's organic scheme collapse and VietGAP adoption bottlenecks in Hanoi's fresh vegetable chains, urban pre-processing hubs, and the 7-part systemic leverage matrix.</w:t>
      </w:r>
    </w:p>
    <w:p w14:paraId="5B7072CA" w14:textId="77777777" w:rsidR="00FB019D" w:rsidRDefault="00000000">
      <w:pPr>
        <w:numPr>
          <w:ilvl w:val="0"/>
          <w:numId w:val="155"/>
        </w:numPr>
        <w:pBdr>
          <w:top w:val="nil"/>
          <w:left w:val="nil"/>
          <w:bottom w:val="nil"/>
          <w:right w:val="nil"/>
          <w:between w:val="nil"/>
        </w:pBdr>
        <w:spacing w:before="0" w:after="0"/>
        <w:ind w:right="0"/>
      </w:pPr>
      <w:r>
        <w:rPr>
          <w:b/>
          <w:bCs/>
        </w:rPr>
        <w:t>Q17–Q27:</w:t>
      </w:r>
      <w:r>
        <w:t xml:space="preserve"> Statutory design for subnational task forces, gendered labor dynamics and value chain displacement, youth agri-service incubators, the political economy of carbon/PES commodification, donor exit strategies via local public extension agencies, anti-co-optation safeguards for cooperatives, long-term land rental frameworks (LURCs), transforming midstream traders into certified service partners, non-market stewardship baselines, multi-dimensional connectivity (vertical, horizontal, territorial), and Market Systems Development (MSD) operationalization.</w:t>
      </w:r>
    </w:p>
    <w:p w14:paraId="5B7072CB" w14:textId="77777777" w:rsidR="00FB019D" w:rsidRDefault="00000000">
      <w:pPr>
        <w:pStyle w:val="Heading4"/>
      </w:pPr>
      <w:r>
        <w:t>Section 2: Detailed Analysis &amp; Evidence-Based Governance Framework</w:t>
      </w:r>
    </w:p>
    <w:p w14:paraId="5B7072CC" w14:textId="77777777" w:rsidR="00FB019D" w:rsidRDefault="00000000">
      <w:pPr>
        <w:numPr>
          <w:ilvl w:val="0"/>
          <w:numId w:val="156"/>
        </w:numPr>
        <w:pBdr>
          <w:top w:val="nil"/>
          <w:left w:val="nil"/>
          <w:bottom w:val="nil"/>
          <w:right w:val="nil"/>
          <w:between w:val="nil"/>
        </w:pBdr>
        <w:spacing w:before="0" w:after="0"/>
        <w:ind w:right="0"/>
      </w:pPr>
      <w:r>
        <w:rPr>
          <w:b/>
          <w:bCs/>
        </w:rPr>
        <w:t>Module 1: Governance, Policy Mixes, and Institutional Anchors (Q1–Q7)</w:t>
      </w:r>
    </w:p>
    <w:p w14:paraId="5B7072CD" w14:textId="77777777" w:rsidR="00FB019D" w:rsidRDefault="00000000">
      <w:pPr>
        <w:numPr>
          <w:ilvl w:val="1"/>
          <w:numId w:val="157"/>
        </w:numPr>
        <w:pBdr>
          <w:top w:val="nil"/>
          <w:left w:val="nil"/>
          <w:bottom w:val="nil"/>
          <w:right w:val="nil"/>
          <w:between w:val="nil"/>
        </w:pBdr>
        <w:spacing w:before="0" w:after="0"/>
        <w:ind w:right="0"/>
      </w:pPr>
      <w:r>
        <w:rPr>
          <w:b/>
          <w:bCs/>
        </w:rPr>
        <w:t>Multi-Sectoral Policy Bundling:</w:t>
      </w:r>
      <w:r>
        <w:t xml:space="preserve"> Why single-point interventions fail and how technical, social, and institutional innovations must be bundled across Ministries of Agriculture, Health, Environment, and Trade.</w:t>
      </w:r>
    </w:p>
    <w:p w14:paraId="5B7072CE" w14:textId="77777777" w:rsidR="00FB019D" w:rsidRDefault="00000000">
      <w:pPr>
        <w:numPr>
          <w:ilvl w:val="1"/>
          <w:numId w:val="157"/>
        </w:numPr>
        <w:pBdr>
          <w:top w:val="nil"/>
          <w:left w:val="nil"/>
          <w:bottom w:val="nil"/>
          <w:right w:val="nil"/>
          <w:between w:val="nil"/>
        </w:pBdr>
        <w:spacing w:before="0" w:after="0"/>
        <w:ind w:right="0"/>
      </w:pPr>
      <w:r>
        <w:rPr>
          <w:b/>
          <w:bCs/>
        </w:rPr>
        <w:t>ASEAN Trade &amp; Soft-Law Mechanics:</w:t>
      </w:r>
      <w:r>
        <w:t xml:space="preserve"> How regional platforms facilitate non-binding equivalence protocols and mutual recognition without imposing exclusionary compliance costs on smallholders.</w:t>
      </w:r>
    </w:p>
    <w:p w14:paraId="5B7072CF" w14:textId="77777777" w:rsidR="00FB019D" w:rsidRDefault="00000000">
      <w:pPr>
        <w:numPr>
          <w:ilvl w:val="1"/>
          <w:numId w:val="157"/>
        </w:numPr>
        <w:pBdr>
          <w:top w:val="nil"/>
          <w:left w:val="nil"/>
          <w:bottom w:val="nil"/>
          <w:right w:val="nil"/>
          <w:between w:val="nil"/>
        </w:pBdr>
        <w:spacing w:before="0" w:after="0"/>
        <w:ind w:right="0"/>
      </w:pPr>
      <w:r>
        <w:rPr>
          <w:b/>
          <w:bCs/>
        </w:rPr>
        <w:t>Anchor Procurement:</w:t>
      </w:r>
      <w:r>
        <w:t xml:space="preserve"> How Home-Grown School Feeding simultaneously acts on value recognition and value capture to de-risk production transitions.</w:t>
      </w:r>
    </w:p>
    <w:p w14:paraId="5B7072D0" w14:textId="77777777" w:rsidR="00FB019D" w:rsidRDefault="00000000">
      <w:pPr>
        <w:numPr>
          <w:ilvl w:val="1"/>
          <w:numId w:val="157"/>
        </w:numPr>
        <w:pBdr>
          <w:top w:val="nil"/>
          <w:left w:val="nil"/>
          <w:bottom w:val="nil"/>
          <w:right w:val="nil"/>
          <w:between w:val="nil"/>
        </w:pBdr>
        <w:spacing w:before="0" w:after="0"/>
        <w:ind w:right="0"/>
      </w:pPr>
      <w:r>
        <w:rPr>
          <w:b/>
          <w:bCs/>
        </w:rPr>
        <w:t>Three-Phase Policy Sequencing:</w:t>
      </w:r>
      <w:r>
        <w:t xml:space="preserve"> (1) Capacity building &amp; de-risking → (2) Market creation via PGS legality &amp; procurement quotas → (3) Phasing out chemical subsidies into cooperative transition funds.</w:t>
      </w:r>
    </w:p>
    <w:p w14:paraId="5B7072D1" w14:textId="77777777" w:rsidR="00FB019D" w:rsidRDefault="00000000">
      <w:pPr>
        <w:numPr>
          <w:ilvl w:val="0"/>
          <w:numId w:val="156"/>
        </w:numPr>
        <w:pBdr>
          <w:top w:val="nil"/>
          <w:left w:val="nil"/>
          <w:bottom w:val="nil"/>
          <w:right w:val="nil"/>
          <w:between w:val="nil"/>
        </w:pBdr>
        <w:spacing w:before="0" w:after="0"/>
        <w:ind w:right="0"/>
      </w:pPr>
      <w:r>
        <w:rPr>
          <w:b/>
          <w:bCs/>
        </w:rPr>
        <w:t>Module 2: Market Failures, Behavioral Nudges, and Value Chain Dynamics (Q8–Q16)</w:t>
      </w:r>
    </w:p>
    <w:p w14:paraId="5B7072D2" w14:textId="77777777" w:rsidR="00FB019D" w:rsidRDefault="00000000">
      <w:pPr>
        <w:numPr>
          <w:ilvl w:val="1"/>
          <w:numId w:val="158"/>
        </w:numPr>
        <w:pBdr>
          <w:top w:val="nil"/>
          <w:left w:val="nil"/>
          <w:bottom w:val="nil"/>
          <w:right w:val="nil"/>
          <w:between w:val="nil"/>
        </w:pBdr>
        <w:spacing w:before="0" w:after="0"/>
        <w:ind w:right="0"/>
      </w:pPr>
      <w:r>
        <w:rPr>
          <w:b/>
          <w:bCs/>
        </w:rPr>
        <w:t>The "Lemons" Problem &amp; Dual-Track Verification:</w:t>
      </w:r>
      <w:r>
        <w:t xml:space="preserve"> Tackling information asymmetry in credence goods via a dual-track architecture (PGS for local/territorial markets and data-bridged group certification for export markets).</w:t>
      </w:r>
    </w:p>
    <w:p w14:paraId="5B7072D3" w14:textId="77777777" w:rsidR="00FB019D" w:rsidRDefault="00000000">
      <w:pPr>
        <w:numPr>
          <w:ilvl w:val="1"/>
          <w:numId w:val="158"/>
        </w:numPr>
        <w:pBdr>
          <w:top w:val="nil"/>
          <w:left w:val="nil"/>
          <w:bottom w:val="nil"/>
          <w:right w:val="nil"/>
          <w:between w:val="nil"/>
        </w:pBdr>
        <w:spacing w:before="0" w:after="0"/>
        <w:ind w:right="0"/>
      </w:pPr>
      <w:r>
        <w:rPr>
          <w:b/>
          <w:bCs/>
        </w:rPr>
        <w:t>Farming Diversification vs. Monoculture Certification:</w:t>
      </w:r>
      <w:r>
        <w:t xml:space="preserve"> Why single-commodity schemes increase market risk exposure, whereas integrated agroecological systems maximize ecological, economic, and nutritional resilience.</w:t>
      </w:r>
    </w:p>
    <w:p w14:paraId="5B7072D4" w14:textId="77777777" w:rsidR="00FB019D" w:rsidRDefault="00000000">
      <w:pPr>
        <w:numPr>
          <w:ilvl w:val="1"/>
          <w:numId w:val="158"/>
        </w:numPr>
        <w:pBdr>
          <w:top w:val="nil"/>
          <w:left w:val="nil"/>
          <w:bottom w:val="nil"/>
          <w:right w:val="nil"/>
          <w:between w:val="nil"/>
        </w:pBdr>
        <w:spacing w:before="0" w:after="0"/>
        <w:ind w:right="0"/>
      </w:pPr>
      <w:r>
        <w:rPr>
          <w:b/>
          <w:bCs/>
        </w:rPr>
        <w:t>Choice Architecture &amp; Nudge Hierarchy:</w:t>
      </w:r>
      <w:r>
        <w:t xml:space="preserve"> Utilizing defaults, store zoning, eye-level positioning, and digital menu ordering to outperform passive eco-labels.</w:t>
      </w:r>
    </w:p>
    <w:p w14:paraId="5B7072D5" w14:textId="77777777" w:rsidR="00FB019D" w:rsidRDefault="00000000">
      <w:pPr>
        <w:numPr>
          <w:ilvl w:val="1"/>
          <w:numId w:val="158"/>
        </w:numPr>
        <w:pBdr>
          <w:top w:val="nil"/>
          <w:left w:val="nil"/>
          <w:bottom w:val="nil"/>
          <w:right w:val="nil"/>
          <w:between w:val="nil"/>
        </w:pBdr>
        <w:spacing w:before="0" w:after="0"/>
        <w:ind w:right="0"/>
      </w:pPr>
      <w:r>
        <w:rPr>
          <w:b/>
          <w:bCs/>
        </w:rPr>
        <w:t>Price Elasticity &amp; Regional Case Studies:</w:t>
      </w:r>
      <w:r>
        <w:t xml:space="preserve"> Analyzing why demand drops sharply above a 15–20% price premium, examining the top-down failure of Thailand's organic rice scheme, and evaluating VietGAP's slow progress against Hanoi's resilient traditional wet markets (</w:t>
      </w:r>
      <w:r>
        <w:rPr>
          <w:i/>
          <w:iCs/>
        </w:rPr>
        <w:t>chợ</w:t>
      </w:r>
      <w:r>
        <w:t>).</w:t>
      </w:r>
    </w:p>
    <w:p w14:paraId="5B7072D6" w14:textId="77777777" w:rsidR="00FB019D" w:rsidRDefault="00000000">
      <w:pPr>
        <w:numPr>
          <w:ilvl w:val="1"/>
          <w:numId w:val="158"/>
        </w:numPr>
        <w:pBdr>
          <w:top w:val="nil"/>
          <w:left w:val="nil"/>
          <w:bottom w:val="nil"/>
          <w:right w:val="nil"/>
          <w:between w:val="nil"/>
        </w:pBdr>
        <w:spacing w:before="0" w:after="0"/>
        <w:ind w:right="0"/>
      </w:pPr>
      <w:r>
        <w:rPr>
          <w:b/>
          <w:bCs/>
        </w:rPr>
        <w:t>Systemic Leverage Matrix:</w:t>
      </w:r>
      <w:r>
        <w:t xml:space="preserve"> Deploying intervention across 7 key leverage points (innovation bundling, financial de-risking, subnational task forces, public procurement anchors, wet-</w:t>
      </w:r>
      <w:r>
        <w:lastRenderedPageBreak/>
        <w:t>market upgrading, power realignment, and reorienting national R&amp;D KPIs to system resilience).</w:t>
      </w:r>
    </w:p>
    <w:p w14:paraId="5B7072D7" w14:textId="77777777" w:rsidR="00FB019D" w:rsidRDefault="00000000">
      <w:pPr>
        <w:numPr>
          <w:ilvl w:val="0"/>
          <w:numId w:val="156"/>
        </w:numPr>
        <w:pBdr>
          <w:top w:val="nil"/>
          <w:left w:val="nil"/>
          <w:bottom w:val="nil"/>
          <w:right w:val="nil"/>
          <w:between w:val="nil"/>
        </w:pBdr>
        <w:spacing w:before="0" w:after="0"/>
        <w:ind w:right="0"/>
      </w:pPr>
      <w:r>
        <w:rPr>
          <w:b/>
          <w:bCs/>
        </w:rPr>
        <w:t>Module 3: Human Machinery, Political Economy, and System Integration (Q17–Q27)</w:t>
      </w:r>
    </w:p>
    <w:p w14:paraId="5B7072D8" w14:textId="77777777" w:rsidR="00FB019D" w:rsidRDefault="00000000">
      <w:pPr>
        <w:numPr>
          <w:ilvl w:val="1"/>
          <w:numId w:val="159"/>
        </w:numPr>
        <w:pBdr>
          <w:top w:val="nil"/>
          <w:left w:val="nil"/>
          <w:bottom w:val="nil"/>
          <w:right w:val="nil"/>
          <w:between w:val="nil"/>
        </w:pBdr>
        <w:spacing w:before="0" w:after="0"/>
        <w:ind w:right="0"/>
      </w:pPr>
      <w:r>
        <w:rPr>
          <w:b/>
          <w:bCs/>
        </w:rPr>
        <w:t>Subnational Executive Task Forces:</w:t>
      </w:r>
      <w:r>
        <w:t xml:space="preserve"> Preventing toothless advisory bodies by embedding taskforces into statutory provincial decrees, mapping budgets into Socio-Economic Development Plans (SEDP), and enforcing shared inter-ministerial KPIs with 40%+ non-state voting representation.</w:t>
      </w:r>
    </w:p>
    <w:p w14:paraId="5B7072D9" w14:textId="77777777" w:rsidR="00FB019D" w:rsidRDefault="00000000">
      <w:pPr>
        <w:numPr>
          <w:ilvl w:val="1"/>
          <w:numId w:val="159"/>
        </w:numPr>
        <w:pBdr>
          <w:top w:val="nil"/>
          <w:left w:val="nil"/>
          <w:bottom w:val="nil"/>
          <w:right w:val="nil"/>
          <w:between w:val="nil"/>
        </w:pBdr>
        <w:spacing w:before="0" w:after="0"/>
        <w:ind w:right="0"/>
      </w:pPr>
      <w:r>
        <w:rPr>
          <w:b/>
          <w:bCs/>
        </w:rPr>
        <w:t>Gender, Youth, and Labor Mechanics:</w:t>
      </w:r>
      <w:r>
        <w:t xml:space="preserve"> Overcoming the "labor trap" during transition through labor-saving bio-tools, enforcing joint land/coop titling, and positioning rural youth as commercial agri-service entrepreneurs running bio-hubs and digital apps.</w:t>
      </w:r>
    </w:p>
    <w:p w14:paraId="5B7072DA" w14:textId="77777777" w:rsidR="00FB019D" w:rsidRDefault="00000000">
      <w:pPr>
        <w:numPr>
          <w:ilvl w:val="1"/>
          <w:numId w:val="159"/>
        </w:numPr>
        <w:pBdr>
          <w:top w:val="nil"/>
          <w:left w:val="nil"/>
          <w:bottom w:val="nil"/>
          <w:right w:val="nil"/>
          <w:between w:val="nil"/>
        </w:pBdr>
        <w:spacing w:before="0" w:after="0"/>
        <w:ind w:right="0"/>
      </w:pPr>
      <w:r>
        <w:rPr>
          <w:b/>
          <w:bCs/>
        </w:rPr>
        <w:t>Political Economy &amp; Donor Exit Strategies:</w:t>
      </w:r>
      <w:r>
        <w:t xml:space="preserve"> Navigating carbon/PES commodification risks, building donor exit strategies around permanent public extension systems, and enforcing 51%+ cooperative ownership over processing assets to prevent corporate co-optation.</w:t>
      </w:r>
    </w:p>
    <w:p w14:paraId="5B7072DB" w14:textId="77777777" w:rsidR="00FB019D" w:rsidRDefault="00000000">
      <w:pPr>
        <w:numPr>
          <w:ilvl w:val="1"/>
          <w:numId w:val="159"/>
        </w:numPr>
        <w:pBdr>
          <w:top w:val="nil"/>
          <w:left w:val="nil"/>
          <w:bottom w:val="nil"/>
          <w:right w:val="nil"/>
          <w:between w:val="nil"/>
        </w:pBdr>
        <w:spacing w:before="0" w:after="0"/>
        <w:ind w:right="0"/>
      </w:pPr>
      <w:r>
        <w:rPr>
          <w:b/>
          <w:bCs/>
        </w:rPr>
        <w:t>Land Tenure, Intermediaries, and Market Systems Development (MSD):</w:t>
      </w:r>
      <w:r>
        <w:t xml:space="preserve"> Reconciling multi-year soil restoration with 10–15 year land rental templates and LURC reforms, transforming midstream traders into certified service partners, anchoring non-market stewardship (PES/CSA), strengthening food system connectivity, and applying MSD principles to transform market supporting functions and rules.</w:t>
      </w:r>
    </w:p>
    <w:p w14:paraId="5B7072DC" w14:textId="77777777" w:rsidR="00FB019D" w:rsidRDefault="00000000">
      <w:pPr>
        <w:pBdr>
          <w:top w:val="nil"/>
          <w:left w:val="nil"/>
          <w:bottom w:val="nil"/>
          <w:right w:val="nil"/>
          <w:between w:val="nil"/>
        </w:pBdr>
        <w:spacing w:before="0" w:after="0" w:line="276" w:lineRule="auto"/>
        <w:ind w:left="0" w:right="0"/>
      </w:pPr>
      <w:r>
        <w:pict w14:anchorId="5B7072FB">
          <v:rect id="_x0000_i1055" style="width:0;height:1.5pt" o:hralign="center" o:hrstd="t" o:hr="t" fillcolor="#a0a0a0" stroked="f"/>
        </w:pict>
      </w:r>
    </w:p>
    <w:sectPr w:rsidR="00FB019D">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6202184F-7863-45F9-B0AB-45E42D498246}"/>
    <w:embedBold r:id="rId2" w:fontKey="{C0659E59-1C6A-4D64-9D25-420A489BBF06}"/>
    <w:embedItalic r:id="rId3" w:fontKey="{816F0086-3DF7-45E8-92BE-E7F770370BFD}"/>
    <w:embedBoldItalic r:id="rId4" w:fontKey="{470B0C16-E1D7-4ECA-956A-010D82B8DE5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17F5B87A-92F5-4832-B01A-D25FBE282B9A}"/>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E0753295-1A49-49D9-8CCA-566F45B5D7E3}"/>
  </w:font>
  <w:font w:name="Cambria">
    <w:panose1 w:val="02040503050406030204"/>
    <w:charset w:val="00"/>
    <w:family w:val="roman"/>
    <w:pitch w:val="variable"/>
    <w:sig w:usb0="E00006FF" w:usb1="420024FF" w:usb2="02000000" w:usb3="00000000" w:csb0="0000019F" w:csb1="00000000"/>
    <w:embedRegular r:id="rId7" w:fontKey="{9D72BFD8-B2C6-4C32-919B-6CB53ADC8A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920"/>
    <w:multiLevelType w:val="multilevel"/>
    <w:tmpl w:val="72046C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D936A0"/>
    <w:multiLevelType w:val="multilevel"/>
    <w:tmpl w:val="9FB098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BA54BD"/>
    <w:multiLevelType w:val="multilevel"/>
    <w:tmpl w:val="4E3CC94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36C02A0"/>
    <w:multiLevelType w:val="multilevel"/>
    <w:tmpl w:val="A9AEE6E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37439A8"/>
    <w:multiLevelType w:val="multilevel"/>
    <w:tmpl w:val="21ECD98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4642752"/>
    <w:multiLevelType w:val="multilevel"/>
    <w:tmpl w:val="5030C2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52A48C7"/>
    <w:multiLevelType w:val="multilevel"/>
    <w:tmpl w:val="77FA1F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5967318"/>
    <w:multiLevelType w:val="multilevel"/>
    <w:tmpl w:val="75141F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05CE6E25"/>
    <w:multiLevelType w:val="multilevel"/>
    <w:tmpl w:val="8E2803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06371CAE"/>
    <w:multiLevelType w:val="multilevel"/>
    <w:tmpl w:val="07CEAB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65E6F2A"/>
    <w:multiLevelType w:val="multilevel"/>
    <w:tmpl w:val="E3EC94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07464A77"/>
    <w:multiLevelType w:val="multilevel"/>
    <w:tmpl w:val="F15615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079F0C08"/>
    <w:multiLevelType w:val="multilevel"/>
    <w:tmpl w:val="7658B1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08014C56"/>
    <w:multiLevelType w:val="multilevel"/>
    <w:tmpl w:val="A57CEF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088D4372"/>
    <w:multiLevelType w:val="multilevel"/>
    <w:tmpl w:val="38FC7F9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08D624C4"/>
    <w:multiLevelType w:val="multilevel"/>
    <w:tmpl w:val="73F85B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09A828B3"/>
    <w:multiLevelType w:val="multilevel"/>
    <w:tmpl w:val="1AD8387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0AF46C8D"/>
    <w:multiLevelType w:val="multilevel"/>
    <w:tmpl w:val="4BA688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0B5317B8"/>
    <w:multiLevelType w:val="multilevel"/>
    <w:tmpl w:val="2EFC06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0C2B7635"/>
    <w:multiLevelType w:val="multilevel"/>
    <w:tmpl w:val="24DA37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0D7500A9"/>
    <w:multiLevelType w:val="multilevel"/>
    <w:tmpl w:val="EFC289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10387432"/>
    <w:multiLevelType w:val="multilevel"/>
    <w:tmpl w:val="E794B3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11064278"/>
    <w:multiLevelType w:val="multilevel"/>
    <w:tmpl w:val="56D461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113A201C"/>
    <w:multiLevelType w:val="multilevel"/>
    <w:tmpl w:val="13AC29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116D46B3"/>
    <w:multiLevelType w:val="multilevel"/>
    <w:tmpl w:val="0D2494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11EE1709"/>
    <w:multiLevelType w:val="multilevel"/>
    <w:tmpl w:val="DA2694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11FC1FCA"/>
    <w:multiLevelType w:val="multilevel"/>
    <w:tmpl w:val="65B42D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12A209A8"/>
    <w:multiLevelType w:val="multilevel"/>
    <w:tmpl w:val="2D6CF9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12E939D9"/>
    <w:multiLevelType w:val="multilevel"/>
    <w:tmpl w:val="019AB1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14DE3189"/>
    <w:multiLevelType w:val="multilevel"/>
    <w:tmpl w:val="1A8CC4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172A67C9"/>
    <w:multiLevelType w:val="multilevel"/>
    <w:tmpl w:val="9C1A41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19DA0230"/>
    <w:multiLevelType w:val="multilevel"/>
    <w:tmpl w:val="32F68E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1BD50079"/>
    <w:multiLevelType w:val="multilevel"/>
    <w:tmpl w:val="BBA2E0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1C517DA7"/>
    <w:multiLevelType w:val="multilevel"/>
    <w:tmpl w:val="9FCCF1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1DFF70C3"/>
    <w:multiLevelType w:val="multilevel"/>
    <w:tmpl w:val="5A1A2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1E403D8A"/>
    <w:multiLevelType w:val="multilevel"/>
    <w:tmpl w:val="3ECA17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1E6E26B7"/>
    <w:multiLevelType w:val="multilevel"/>
    <w:tmpl w:val="CCBE51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1E945651"/>
    <w:multiLevelType w:val="multilevel"/>
    <w:tmpl w:val="66E0FB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20C25C9B"/>
    <w:multiLevelType w:val="multilevel"/>
    <w:tmpl w:val="FB26A1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21AD24A8"/>
    <w:multiLevelType w:val="multilevel"/>
    <w:tmpl w:val="D0409E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221E2131"/>
    <w:multiLevelType w:val="multilevel"/>
    <w:tmpl w:val="39A6FA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227A5293"/>
    <w:multiLevelType w:val="multilevel"/>
    <w:tmpl w:val="41084E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22FB38E4"/>
    <w:multiLevelType w:val="multilevel"/>
    <w:tmpl w:val="A6A81B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232E53C9"/>
    <w:multiLevelType w:val="multilevel"/>
    <w:tmpl w:val="39F83D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239415AB"/>
    <w:multiLevelType w:val="multilevel"/>
    <w:tmpl w:val="DAC43A0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24075690"/>
    <w:multiLevelType w:val="multilevel"/>
    <w:tmpl w:val="3A5686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24EB062A"/>
    <w:multiLevelType w:val="multilevel"/>
    <w:tmpl w:val="309C53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250A1D4E"/>
    <w:multiLevelType w:val="multilevel"/>
    <w:tmpl w:val="E022FD4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25B6608E"/>
    <w:multiLevelType w:val="multilevel"/>
    <w:tmpl w:val="DC625CB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271A466C"/>
    <w:multiLevelType w:val="multilevel"/>
    <w:tmpl w:val="B6BA93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28504E77"/>
    <w:multiLevelType w:val="multilevel"/>
    <w:tmpl w:val="D13446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28EC14BF"/>
    <w:multiLevelType w:val="multilevel"/>
    <w:tmpl w:val="0A7471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2908422A"/>
    <w:multiLevelType w:val="multilevel"/>
    <w:tmpl w:val="F25C58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2999069C"/>
    <w:multiLevelType w:val="multilevel"/>
    <w:tmpl w:val="78FCF1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2B187BF2"/>
    <w:multiLevelType w:val="multilevel"/>
    <w:tmpl w:val="9BD0FA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2B8F4EBC"/>
    <w:multiLevelType w:val="multilevel"/>
    <w:tmpl w:val="90825E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2DC64E08"/>
    <w:multiLevelType w:val="multilevel"/>
    <w:tmpl w:val="9740FA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2E3D1B06"/>
    <w:multiLevelType w:val="multilevel"/>
    <w:tmpl w:val="F3E2D60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15:restartNumberingAfterBreak="0">
    <w:nsid w:val="2ECB6AF9"/>
    <w:multiLevelType w:val="multilevel"/>
    <w:tmpl w:val="30D236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15:restartNumberingAfterBreak="0">
    <w:nsid w:val="2ED6070B"/>
    <w:multiLevelType w:val="multilevel"/>
    <w:tmpl w:val="B6A212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2F0E5775"/>
    <w:multiLevelType w:val="multilevel"/>
    <w:tmpl w:val="C4520E38"/>
    <w:lvl w:ilvl="0">
      <w:start w:val="2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30526CF1"/>
    <w:multiLevelType w:val="multilevel"/>
    <w:tmpl w:val="5B4AA1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15:restartNumberingAfterBreak="0">
    <w:nsid w:val="30BE1659"/>
    <w:multiLevelType w:val="multilevel"/>
    <w:tmpl w:val="2AA684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15:restartNumberingAfterBreak="0">
    <w:nsid w:val="30C05F73"/>
    <w:multiLevelType w:val="multilevel"/>
    <w:tmpl w:val="1D4C52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15:restartNumberingAfterBreak="0">
    <w:nsid w:val="31E96749"/>
    <w:multiLevelType w:val="multilevel"/>
    <w:tmpl w:val="3A425E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15:restartNumberingAfterBreak="0">
    <w:nsid w:val="329A0BC6"/>
    <w:multiLevelType w:val="multilevel"/>
    <w:tmpl w:val="CFEAC1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329B2DE9"/>
    <w:multiLevelType w:val="multilevel"/>
    <w:tmpl w:val="EBA003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15:restartNumberingAfterBreak="0">
    <w:nsid w:val="32BA432A"/>
    <w:multiLevelType w:val="multilevel"/>
    <w:tmpl w:val="B5DC60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15:restartNumberingAfterBreak="0">
    <w:nsid w:val="32E37BD1"/>
    <w:multiLevelType w:val="multilevel"/>
    <w:tmpl w:val="947839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15:restartNumberingAfterBreak="0">
    <w:nsid w:val="33003AC9"/>
    <w:multiLevelType w:val="multilevel"/>
    <w:tmpl w:val="C00040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33E04615"/>
    <w:multiLevelType w:val="multilevel"/>
    <w:tmpl w:val="9AB0F1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15:restartNumberingAfterBreak="0">
    <w:nsid w:val="348811BD"/>
    <w:multiLevelType w:val="multilevel"/>
    <w:tmpl w:val="67FC86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15:restartNumberingAfterBreak="0">
    <w:nsid w:val="348F1626"/>
    <w:multiLevelType w:val="multilevel"/>
    <w:tmpl w:val="E33063A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3" w15:restartNumberingAfterBreak="0">
    <w:nsid w:val="34E862D1"/>
    <w:multiLevelType w:val="multilevel"/>
    <w:tmpl w:val="9476E7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4" w15:restartNumberingAfterBreak="0">
    <w:nsid w:val="35CE56BA"/>
    <w:multiLevelType w:val="multilevel"/>
    <w:tmpl w:val="BFE097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5" w15:restartNumberingAfterBreak="0">
    <w:nsid w:val="35FA02A9"/>
    <w:multiLevelType w:val="multilevel"/>
    <w:tmpl w:val="8D8A6D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6" w15:restartNumberingAfterBreak="0">
    <w:nsid w:val="36244261"/>
    <w:multiLevelType w:val="multilevel"/>
    <w:tmpl w:val="6ED2CA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7" w15:restartNumberingAfterBreak="0">
    <w:nsid w:val="36F764A7"/>
    <w:multiLevelType w:val="multilevel"/>
    <w:tmpl w:val="5A98D5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8" w15:restartNumberingAfterBreak="0">
    <w:nsid w:val="384F5D68"/>
    <w:multiLevelType w:val="multilevel"/>
    <w:tmpl w:val="539047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9" w15:restartNumberingAfterBreak="0">
    <w:nsid w:val="38571DB8"/>
    <w:multiLevelType w:val="multilevel"/>
    <w:tmpl w:val="C15438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0" w15:restartNumberingAfterBreak="0">
    <w:nsid w:val="388E66D5"/>
    <w:multiLevelType w:val="multilevel"/>
    <w:tmpl w:val="6F660A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1" w15:restartNumberingAfterBreak="0">
    <w:nsid w:val="389901A9"/>
    <w:multiLevelType w:val="multilevel"/>
    <w:tmpl w:val="C10C92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2" w15:restartNumberingAfterBreak="0">
    <w:nsid w:val="38F373F4"/>
    <w:multiLevelType w:val="multilevel"/>
    <w:tmpl w:val="4EE4E8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3" w15:restartNumberingAfterBreak="0">
    <w:nsid w:val="3B5C04D1"/>
    <w:multiLevelType w:val="multilevel"/>
    <w:tmpl w:val="E8A45C1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4" w15:restartNumberingAfterBreak="0">
    <w:nsid w:val="3B6F48A2"/>
    <w:multiLevelType w:val="multilevel"/>
    <w:tmpl w:val="87A080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5" w15:restartNumberingAfterBreak="0">
    <w:nsid w:val="3BC24FAB"/>
    <w:multiLevelType w:val="multilevel"/>
    <w:tmpl w:val="327054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6" w15:restartNumberingAfterBreak="0">
    <w:nsid w:val="3D8D132A"/>
    <w:multiLevelType w:val="multilevel"/>
    <w:tmpl w:val="EE92E2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7" w15:restartNumberingAfterBreak="0">
    <w:nsid w:val="3DDD7C09"/>
    <w:multiLevelType w:val="multilevel"/>
    <w:tmpl w:val="54327E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8" w15:restartNumberingAfterBreak="0">
    <w:nsid w:val="3E3D6C52"/>
    <w:multiLevelType w:val="multilevel"/>
    <w:tmpl w:val="A510FD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9" w15:restartNumberingAfterBreak="0">
    <w:nsid w:val="3E557FFD"/>
    <w:multiLevelType w:val="multilevel"/>
    <w:tmpl w:val="B89CE6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0" w15:restartNumberingAfterBreak="0">
    <w:nsid w:val="408329A6"/>
    <w:multiLevelType w:val="multilevel"/>
    <w:tmpl w:val="F0A8FB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1" w15:restartNumberingAfterBreak="0">
    <w:nsid w:val="414070AF"/>
    <w:multiLevelType w:val="multilevel"/>
    <w:tmpl w:val="6494F7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2" w15:restartNumberingAfterBreak="0">
    <w:nsid w:val="41DD0999"/>
    <w:multiLevelType w:val="multilevel"/>
    <w:tmpl w:val="C3E854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3" w15:restartNumberingAfterBreak="0">
    <w:nsid w:val="41FC10BE"/>
    <w:multiLevelType w:val="multilevel"/>
    <w:tmpl w:val="DDDAA2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4" w15:restartNumberingAfterBreak="0">
    <w:nsid w:val="4361252D"/>
    <w:multiLevelType w:val="multilevel"/>
    <w:tmpl w:val="BC6E41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5" w15:restartNumberingAfterBreak="0">
    <w:nsid w:val="442E4F99"/>
    <w:multiLevelType w:val="multilevel"/>
    <w:tmpl w:val="E36082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6" w15:restartNumberingAfterBreak="0">
    <w:nsid w:val="44A06BBE"/>
    <w:multiLevelType w:val="multilevel"/>
    <w:tmpl w:val="572CAB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7" w15:restartNumberingAfterBreak="0">
    <w:nsid w:val="44D27109"/>
    <w:multiLevelType w:val="multilevel"/>
    <w:tmpl w:val="4C605F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8" w15:restartNumberingAfterBreak="0">
    <w:nsid w:val="453720B0"/>
    <w:multiLevelType w:val="multilevel"/>
    <w:tmpl w:val="73283D9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 w15:restartNumberingAfterBreak="0">
    <w:nsid w:val="45E93B8D"/>
    <w:multiLevelType w:val="multilevel"/>
    <w:tmpl w:val="BFCEB97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0" w15:restartNumberingAfterBreak="0">
    <w:nsid w:val="460274AE"/>
    <w:multiLevelType w:val="multilevel"/>
    <w:tmpl w:val="237478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1" w15:restartNumberingAfterBreak="0">
    <w:nsid w:val="46CE023F"/>
    <w:multiLevelType w:val="multilevel"/>
    <w:tmpl w:val="B1CED47A"/>
    <w:lvl w:ilvl="0">
      <w:start w:val="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2" w15:restartNumberingAfterBreak="0">
    <w:nsid w:val="477B0B57"/>
    <w:multiLevelType w:val="multilevel"/>
    <w:tmpl w:val="66D8EC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3" w15:restartNumberingAfterBreak="0">
    <w:nsid w:val="488B393C"/>
    <w:multiLevelType w:val="multilevel"/>
    <w:tmpl w:val="C0CAA86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4" w15:restartNumberingAfterBreak="0">
    <w:nsid w:val="490A41BD"/>
    <w:multiLevelType w:val="multilevel"/>
    <w:tmpl w:val="5406CE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5" w15:restartNumberingAfterBreak="0">
    <w:nsid w:val="4D8E7ECB"/>
    <w:multiLevelType w:val="multilevel"/>
    <w:tmpl w:val="086EA67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6" w15:restartNumberingAfterBreak="0">
    <w:nsid w:val="4E3B793B"/>
    <w:multiLevelType w:val="multilevel"/>
    <w:tmpl w:val="53D0EC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7" w15:restartNumberingAfterBreak="0">
    <w:nsid w:val="4E6300B0"/>
    <w:multiLevelType w:val="multilevel"/>
    <w:tmpl w:val="0994E8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8" w15:restartNumberingAfterBreak="0">
    <w:nsid w:val="4FA23785"/>
    <w:multiLevelType w:val="multilevel"/>
    <w:tmpl w:val="71E245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9" w15:restartNumberingAfterBreak="0">
    <w:nsid w:val="50C1483F"/>
    <w:multiLevelType w:val="multilevel"/>
    <w:tmpl w:val="A2DEAD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0" w15:restartNumberingAfterBreak="0">
    <w:nsid w:val="519A38F6"/>
    <w:multiLevelType w:val="multilevel"/>
    <w:tmpl w:val="0F36DD74"/>
    <w:lvl w:ilvl="0">
      <w:start w:val="1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1" w15:restartNumberingAfterBreak="0">
    <w:nsid w:val="523A4512"/>
    <w:multiLevelType w:val="multilevel"/>
    <w:tmpl w:val="063683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2" w15:restartNumberingAfterBreak="0">
    <w:nsid w:val="52567B13"/>
    <w:multiLevelType w:val="multilevel"/>
    <w:tmpl w:val="94C0FB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3" w15:restartNumberingAfterBreak="0">
    <w:nsid w:val="52833F67"/>
    <w:multiLevelType w:val="multilevel"/>
    <w:tmpl w:val="07FC9A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4" w15:restartNumberingAfterBreak="0">
    <w:nsid w:val="52E31393"/>
    <w:multiLevelType w:val="multilevel"/>
    <w:tmpl w:val="2DC0A8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5" w15:restartNumberingAfterBreak="0">
    <w:nsid w:val="530C30B5"/>
    <w:multiLevelType w:val="multilevel"/>
    <w:tmpl w:val="A4E42B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6" w15:restartNumberingAfterBreak="0">
    <w:nsid w:val="532F7091"/>
    <w:multiLevelType w:val="multilevel"/>
    <w:tmpl w:val="8076BD3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7" w15:restartNumberingAfterBreak="0">
    <w:nsid w:val="54034E3A"/>
    <w:multiLevelType w:val="multilevel"/>
    <w:tmpl w:val="AB50B4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8" w15:restartNumberingAfterBreak="0">
    <w:nsid w:val="54AD3A78"/>
    <w:multiLevelType w:val="multilevel"/>
    <w:tmpl w:val="790409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9" w15:restartNumberingAfterBreak="0">
    <w:nsid w:val="55EB6A64"/>
    <w:multiLevelType w:val="multilevel"/>
    <w:tmpl w:val="AE687E8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0" w15:restartNumberingAfterBreak="0">
    <w:nsid w:val="5691520D"/>
    <w:multiLevelType w:val="multilevel"/>
    <w:tmpl w:val="F8B4BE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1" w15:restartNumberingAfterBreak="0">
    <w:nsid w:val="56BD549A"/>
    <w:multiLevelType w:val="multilevel"/>
    <w:tmpl w:val="9D0E9D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2" w15:restartNumberingAfterBreak="0">
    <w:nsid w:val="572E58DB"/>
    <w:multiLevelType w:val="multilevel"/>
    <w:tmpl w:val="1A02FE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3" w15:restartNumberingAfterBreak="0">
    <w:nsid w:val="57B16E42"/>
    <w:multiLevelType w:val="multilevel"/>
    <w:tmpl w:val="603078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4" w15:restartNumberingAfterBreak="0">
    <w:nsid w:val="58EA4778"/>
    <w:multiLevelType w:val="multilevel"/>
    <w:tmpl w:val="FC10830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5" w15:restartNumberingAfterBreak="0">
    <w:nsid w:val="597E6CE7"/>
    <w:multiLevelType w:val="multilevel"/>
    <w:tmpl w:val="4EB861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6" w15:restartNumberingAfterBreak="0">
    <w:nsid w:val="5A066E6F"/>
    <w:multiLevelType w:val="multilevel"/>
    <w:tmpl w:val="EC5035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7" w15:restartNumberingAfterBreak="0">
    <w:nsid w:val="5A3447AC"/>
    <w:multiLevelType w:val="multilevel"/>
    <w:tmpl w:val="CF34BB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8" w15:restartNumberingAfterBreak="0">
    <w:nsid w:val="5A703801"/>
    <w:multiLevelType w:val="multilevel"/>
    <w:tmpl w:val="A07098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9" w15:restartNumberingAfterBreak="0">
    <w:nsid w:val="5A9B4501"/>
    <w:multiLevelType w:val="multilevel"/>
    <w:tmpl w:val="002604CA"/>
    <w:lvl w:ilvl="0">
      <w:start w:val="16"/>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0" w15:restartNumberingAfterBreak="0">
    <w:nsid w:val="5B8B3EC1"/>
    <w:multiLevelType w:val="multilevel"/>
    <w:tmpl w:val="44B2BB2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1" w15:restartNumberingAfterBreak="0">
    <w:nsid w:val="5CA02AD0"/>
    <w:multiLevelType w:val="multilevel"/>
    <w:tmpl w:val="444CAA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2" w15:restartNumberingAfterBreak="0">
    <w:nsid w:val="5DD905E6"/>
    <w:multiLevelType w:val="multilevel"/>
    <w:tmpl w:val="EBC4654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3" w15:restartNumberingAfterBreak="0">
    <w:nsid w:val="60F86105"/>
    <w:multiLevelType w:val="multilevel"/>
    <w:tmpl w:val="78F27E2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4" w15:restartNumberingAfterBreak="0">
    <w:nsid w:val="61AC530B"/>
    <w:multiLevelType w:val="multilevel"/>
    <w:tmpl w:val="23ACC8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5" w15:restartNumberingAfterBreak="0">
    <w:nsid w:val="628548E6"/>
    <w:multiLevelType w:val="multilevel"/>
    <w:tmpl w:val="D6CA93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6" w15:restartNumberingAfterBreak="0">
    <w:nsid w:val="62F3462E"/>
    <w:multiLevelType w:val="multilevel"/>
    <w:tmpl w:val="19842D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7" w15:restartNumberingAfterBreak="0">
    <w:nsid w:val="65566E6F"/>
    <w:multiLevelType w:val="multilevel"/>
    <w:tmpl w:val="E0965D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8" w15:restartNumberingAfterBreak="0">
    <w:nsid w:val="657166AD"/>
    <w:multiLevelType w:val="multilevel"/>
    <w:tmpl w:val="AB3A5D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9" w15:restartNumberingAfterBreak="0">
    <w:nsid w:val="674D3B42"/>
    <w:multiLevelType w:val="multilevel"/>
    <w:tmpl w:val="16B0AF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0" w15:restartNumberingAfterBreak="0">
    <w:nsid w:val="69650673"/>
    <w:multiLevelType w:val="multilevel"/>
    <w:tmpl w:val="4EF438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1" w15:restartNumberingAfterBreak="0">
    <w:nsid w:val="6A4B7BD1"/>
    <w:multiLevelType w:val="multilevel"/>
    <w:tmpl w:val="A3104A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2" w15:restartNumberingAfterBreak="0">
    <w:nsid w:val="6C7F177E"/>
    <w:multiLevelType w:val="multilevel"/>
    <w:tmpl w:val="F0A8FE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3" w15:restartNumberingAfterBreak="0">
    <w:nsid w:val="6D5F19D7"/>
    <w:multiLevelType w:val="multilevel"/>
    <w:tmpl w:val="237CAA5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4" w15:restartNumberingAfterBreak="0">
    <w:nsid w:val="6DFE032E"/>
    <w:multiLevelType w:val="multilevel"/>
    <w:tmpl w:val="411C4C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5" w15:restartNumberingAfterBreak="0">
    <w:nsid w:val="70E836A0"/>
    <w:multiLevelType w:val="multilevel"/>
    <w:tmpl w:val="93B4D4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6" w15:restartNumberingAfterBreak="0">
    <w:nsid w:val="71D83CB0"/>
    <w:multiLevelType w:val="multilevel"/>
    <w:tmpl w:val="F6EC5B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7" w15:restartNumberingAfterBreak="0">
    <w:nsid w:val="720154CD"/>
    <w:multiLevelType w:val="multilevel"/>
    <w:tmpl w:val="0832D0F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8" w15:restartNumberingAfterBreak="0">
    <w:nsid w:val="721E4147"/>
    <w:multiLevelType w:val="multilevel"/>
    <w:tmpl w:val="226836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9" w15:restartNumberingAfterBreak="0">
    <w:nsid w:val="72BE24A7"/>
    <w:multiLevelType w:val="multilevel"/>
    <w:tmpl w:val="B45CC6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0" w15:restartNumberingAfterBreak="0">
    <w:nsid w:val="73A41908"/>
    <w:multiLevelType w:val="multilevel"/>
    <w:tmpl w:val="F7CCE6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1" w15:restartNumberingAfterBreak="0">
    <w:nsid w:val="74BA652B"/>
    <w:multiLevelType w:val="multilevel"/>
    <w:tmpl w:val="EE40D7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2" w15:restartNumberingAfterBreak="0">
    <w:nsid w:val="74C31DA9"/>
    <w:multiLevelType w:val="multilevel"/>
    <w:tmpl w:val="1EB2F0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3" w15:restartNumberingAfterBreak="0">
    <w:nsid w:val="76514659"/>
    <w:multiLevelType w:val="multilevel"/>
    <w:tmpl w:val="15DC0F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4" w15:restartNumberingAfterBreak="0">
    <w:nsid w:val="785F3506"/>
    <w:multiLevelType w:val="multilevel"/>
    <w:tmpl w:val="AF8E5D0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5" w15:restartNumberingAfterBreak="0">
    <w:nsid w:val="79503F36"/>
    <w:multiLevelType w:val="multilevel"/>
    <w:tmpl w:val="67186A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6" w15:restartNumberingAfterBreak="0">
    <w:nsid w:val="795A3F5C"/>
    <w:multiLevelType w:val="multilevel"/>
    <w:tmpl w:val="CF7A0C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7" w15:restartNumberingAfterBreak="0">
    <w:nsid w:val="79BD20E6"/>
    <w:multiLevelType w:val="multilevel"/>
    <w:tmpl w:val="B3E007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8" w15:restartNumberingAfterBreak="0">
    <w:nsid w:val="7DB5553E"/>
    <w:multiLevelType w:val="multilevel"/>
    <w:tmpl w:val="DFC063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9" w15:restartNumberingAfterBreak="0">
    <w:nsid w:val="7DCE1028"/>
    <w:multiLevelType w:val="multilevel"/>
    <w:tmpl w:val="E4A87C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0" w15:restartNumberingAfterBreak="0">
    <w:nsid w:val="7E560F12"/>
    <w:multiLevelType w:val="multilevel"/>
    <w:tmpl w:val="C6A8B6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1" w15:restartNumberingAfterBreak="0">
    <w:nsid w:val="7EB66620"/>
    <w:multiLevelType w:val="multilevel"/>
    <w:tmpl w:val="3EE2C6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2" w15:restartNumberingAfterBreak="0">
    <w:nsid w:val="7F8D2107"/>
    <w:multiLevelType w:val="multilevel"/>
    <w:tmpl w:val="9ECA12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3" w15:restartNumberingAfterBreak="0">
    <w:nsid w:val="7FBB7FAF"/>
    <w:multiLevelType w:val="multilevel"/>
    <w:tmpl w:val="6C52EEC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851192">
    <w:abstractNumId w:val="4"/>
  </w:num>
  <w:num w:numId="2" w16cid:durableId="965043105">
    <w:abstractNumId w:val="77"/>
  </w:num>
  <w:num w:numId="3" w16cid:durableId="122117761">
    <w:abstractNumId w:val="116"/>
  </w:num>
  <w:num w:numId="4" w16cid:durableId="210651548">
    <w:abstractNumId w:val="103"/>
  </w:num>
  <w:num w:numId="5" w16cid:durableId="1440836096">
    <w:abstractNumId w:val="122"/>
  </w:num>
  <w:num w:numId="6" w16cid:durableId="104933251">
    <w:abstractNumId w:val="98"/>
  </w:num>
  <w:num w:numId="7" w16cid:durableId="1504510014">
    <w:abstractNumId w:val="123"/>
  </w:num>
  <w:num w:numId="8" w16cid:durableId="1996031696">
    <w:abstractNumId w:val="145"/>
  </w:num>
  <w:num w:numId="9" w16cid:durableId="1557281277">
    <w:abstractNumId w:val="42"/>
  </w:num>
  <w:num w:numId="10" w16cid:durableId="142741746">
    <w:abstractNumId w:val="112"/>
  </w:num>
  <w:num w:numId="11" w16cid:durableId="1284114460">
    <w:abstractNumId w:val="74"/>
  </w:num>
  <w:num w:numId="12" w16cid:durableId="279920855">
    <w:abstractNumId w:val="83"/>
  </w:num>
  <w:num w:numId="13" w16cid:durableId="363868519">
    <w:abstractNumId w:val="20"/>
  </w:num>
  <w:num w:numId="14" w16cid:durableId="569006219">
    <w:abstractNumId w:val="104"/>
  </w:num>
  <w:num w:numId="15" w16cid:durableId="301346658">
    <w:abstractNumId w:val="84"/>
  </w:num>
  <w:num w:numId="16" w16cid:durableId="91704448">
    <w:abstractNumId w:val="34"/>
  </w:num>
  <w:num w:numId="17" w16cid:durableId="694765939">
    <w:abstractNumId w:val="27"/>
  </w:num>
  <w:num w:numId="18" w16cid:durableId="1854997676">
    <w:abstractNumId w:val="101"/>
  </w:num>
  <w:num w:numId="19" w16cid:durableId="1473403687">
    <w:abstractNumId w:val="102"/>
  </w:num>
  <w:num w:numId="20" w16cid:durableId="1629775424">
    <w:abstractNumId w:val="67"/>
  </w:num>
  <w:num w:numId="21" w16cid:durableId="418453985">
    <w:abstractNumId w:val="13"/>
  </w:num>
  <w:num w:numId="22" w16cid:durableId="1771390667">
    <w:abstractNumId w:val="162"/>
  </w:num>
  <w:num w:numId="23" w16cid:durableId="875313112">
    <w:abstractNumId w:val="140"/>
  </w:num>
  <w:num w:numId="24" w16cid:durableId="948272808">
    <w:abstractNumId w:val="138"/>
  </w:num>
  <w:num w:numId="25" w16cid:durableId="1134251298">
    <w:abstractNumId w:val="18"/>
  </w:num>
  <w:num w:numId="26" w16cid:durableId="1583299587">
    <w:abstractNumId w:val="25"/>
  </w:num>
  <w:num w:numId="27" w16cid:durableId="718825148">
    <w:abstractNumId w:val="41"/>
  </w:num>
  <w:num w:numId="28" w16cid:durableId="737826249">
    <w:abstractNumId w:val="85"/>
  </w:num>
  <w:num w:numId="29" w16cid:durableId="606891966">
    <w:abstractNumId w:val="12"/>
  </w:num>
  <w:num w:numId="30" w16cid:durableId="510995250">
    <w:abstractNumId w:val="156"/>
  </w:num>
  <w:num w:numId="31" w16cid:durableId="1879580647">
    <w:abstractNumId w:val="117"/>
  </w:num>
  <w:num w:numId="32" w16cid:durableId="1207329643">
    <w:abstractNumId w:val="72"/>
  </w:num>
  <w:num w:numId="33" w16cid:durableId="664555364">
    <w:abstractNumId w:val="96"/>
  </w:num>
  <w:num w:numId="34" w16cid:durableId="1884554103">
    <w:abstractNumId w:val="152"/>
  </w:num>
  <w:num w:numId="35" w16cid:durableId="291713068">
    <w:abstractNumId w:val="110"/>
  </w:num>
  <w:num w:numId="36" w16cid:durableId="67581264">
    <w:abstractNumId w:val="127"/>
  </w:num>
  <w:num w:numId="37" w16cid:durableId="172116207">
    <w:abstractNumId w:val="143"/>
  </w:num>
  <w:num w:numId="38" w16cid:durableId="1693728239">
    <w:abstractNumId w:val="87"/>
  </w:num>
  <w:num w:numId="39" w16cid:durableId="754015776">
    <w:abstractNumId w:val="40"/>
  </w:num>
  <w:num w:numId="40" w16cid:durableId="1055548017">
    <w:abstractNumId w:val="65"/>
  </w:num>
  <w:num w:numId="41" w16cid:durableId="12852815">
    <w:abstractNumId w:val="56"/>
  </w:num>
  <w:num w:numId="42" w16cid:durableId="1876960293">
    <w:abstractNumId w:val="15"/>
  </w:num>
  <w:num w:numId="43" w16cid:durableId="491409690">
    <w:abstractNumId w:val="97"/>
  </w:num>
  <w:num w:numId="44" w16cid:durableId="2074699396">
    <w:abstractNumId w:val="45"/>
  </w:num>
  <w:num w:numId="45" w16cid:durableId="19281961">
    <w:abstractNumId w:val="109"/>
  </w:num>
  <w:num w:numId="46" w16cid:durableId="523790127">
    <w:abstractNumId w:val="89"/>
  </w:num>
  <w:num w:numId="47" w16cid:durableId="528950717">
    <w:abstractNumId w:val="155"/>
  </w:num>
  <w:num w:numId="48" w16cid:durableId="144056829">
    <w:abstractNumId w:val="8"/>
  </w:num>
  <w:num w:numId="49" w16cid:durableId="2003119045">
    <w:abstractNumId w:val="66"/>
  </w:num>
  <w:num w:numId="50" w16cid:durableId="2048872137">
    <w:abstractNumId w:val="93"/>
  </w:num>
  <w:num w:numId="51" w16cid:durableId="1508326174">
    <w:abstractNumId w:val="70"/>
  </w:num>
  <w:num w:numId="52" w16cid:durableId="1594046206">
    <w:abstractNumId w:val="129"/>
  </w:num>
  <w:num w:numId="53" w16cid:durableId="934168355">
    <w:abstractNumId w:val="24"/>
  </w:num>
  <w:num w:numId="54" w16cid:durableId="1050034806">
    <w:abstractNumId w:val="158"/>
  </w:num>
  <w:num w:numId="55" w16cid:durableId="1899700615">
    <w:abstractNumId w:val="0"/>
  </w:num>
  <w:num w:numId="56" w16cid:durableId="1683817905">
    <w:abstractNumId w:val="144"/>
  </w:num>
  <w:num w:numId="57" w16cid:durableId="554438921">
    <w:abstractNumId w:val="126"/>
  </w:num>
  <w:num w:numId="58" w16cid:durableId="1552186481">
    <w:abstractNumId w:val="44"/>
  </w:num>
  <w:num w:numId="59" w16cid:durableId="2123302139">
    <w:abstractNumId w:val="30"/>
  </w:num>
  <w:num w:numId="60" w16cid:durableId="787546757">
    <w:abstractNumId w:val="115"/>
  </w:num>
  <w:num w:numId="61" w16cid:durableId="691027662">
    <w:abstractNumId w:val="139"/>
  </w:num>
  <w:num w:numId="62" w16cid:durableId="260263916">
    <w:abstractNumId w:val="91"/>
  </w:num>
  <w:num w:numId="63" w16cid:durableId="191193297">
    <w:abstractNumId w:val="43"/>
  </w:num>
  <w:num w:numId="64" w16cid:durableId="615217349">
    <w:abstractNumId w:val="134"/>
  </w:num>
  <w:num w:numId="65" w16cid:durableId="311061938">
    <w:abstractNumId w:val="54"/>
  </w:num>
  <w:num w:numId="66" w16cid:durableId="1579897752">
    <w:abstractNumId w:val="151"/>
  </w:num>
  <w:num w:numId="67" w16cid:durableId="2127003365">
    <w:abstractNumId w:val="80"/>
  </w:num>
  <w:num w:numId="68" w16cid:durableId="903028348">
    <w:abstractNumId w:val="161"/>
  </w:num>
  <w:num w:numId="69" w16cid:durableId="804857556">
    <w:abstractNumId w:val="60"/>
  </w:num>
  <w:num w:numId="70" w16cid:durableId="69280930">
    <w:abstractNumId w:val="53"/>
  </w:num>
  <w:num w:numId="71" w16cid:durableId="1287855091">
    <w:abstractNumId w:val="50"/>
  </w:num>
  <w:num w:numId="72" w16cid:durableId="1672948060">
    <w:abstractNumId w:val="68"/>
  </w:num>
  <w:num w:numId="73" w16cid:durableId="37701488">
    <w:abstractNumId w:val="46"/>
  </w:num>
  <w:num w:numId="74" w16cid:durableId="529269592">
    <w:abstractNumId w:val="105"/>
  </w:num>
  <w:num w:numId="75" w16cid:durableId="796025009">
    <w:abstractNumId w:val="130"/>
  </w:num>
  <w:num w:numId="76" w16cid:durableId="1571771803">
    <w:abstractNumId w:val="76"/>
  </w:num>
  <w:num w:numId="77" w16cid:durableId="780875076">
    <w:abstractNumId w:val="136"/>
  </w:num>
  <w:num w:numId="78" w16cid:durableId="552742696">
    <w:abstractNumId w:val="148"/>
  </w:num>
  <w:num w:numId="79" w16cid:durableId="2113472726">
    <w:abstractNumId w:val="160"/>
  </w:num>
  <w:num w:numId="80" w16cid:durableId="1099374007">
    <w:abstractNumId w:val="75"/>
  </w:num>
  <w:num w:numId="81" w16cid:durableId="262997622">
    <w:abstractNumId w:val="94"/>
  </w:num>
  <w:num w:numId="82" w16cid:durableId="892617208">
    <w:abstractNumId w:val="1"/>
  </w:num>
  <w:num w:numId="83" w16cid:durableId="86584459">
    <w:abstractNumId w:val="135"/>
  </w:num>
  <w:num w:numId="84" w16cid:durableId="573441635">
    <w:abstractNumId w:val="86"/>
  </w:num>
  <w:num w:numId="85" w16cid:durableId="161505612">
    <w:abstractNumId w:val="7"/>
  </w:num>
  <w:num w:numId="86" w16cid:durableId="664020482">
    <w:abstractNumId w:val="63"/>
  </w:num>
  <w:num w:numId="87" w16cid:durableId="1980111912">
    <w:abstractNumId w:val="153"/>
  </w:num>
  <w:num w:numId="88" w16cid:durableId="1315642550">
    <w:abstractNumId w:val="81"/>
  </w:num>
  <w:num w:numId="89" w16cid:durableId="1145009425">
    <w:abstractNumId w:val="23"/>
  </w:num>
  <w:num w:numId="90" w16cid:durableId="942149656">
    <w:abstractNumId w:val="147"/>
  </w:num>
  <w:num w:numId="91" w16cid:durableId="1051002319">
    <w:abstractNumId w:val="38"/>
  </w:num>
  <w:num w:numId="92" w16cid:durableId="1670255962">
    <w:abstractNumId w:val="114"/>
  </w:num>
  <w:num w:numId="93" w16cid:durableId="909539680">
    <w:abstractNumId w:val="32"/>
  </w:num>
  <w:num w:numId="94" w16cid:durableId="10882037">
    <w:abstractNumId w:val="33"/>
  </w:num>
  <w:num w:numId="95" w16cid:durableId="681467694">
    <w:abstractNumId w:val="73"/>
  </w:num>
  <w:num w:numId="96" w16cid:durableId="749431111">
    <w:abstractNumId w:val="55"/>
  </w:num>
  <w:num w:numId="97" w16cid:durableId="268972953">
    <w:abstractNumId w:val="125"/>
  </w:num>
  <w:num w:numId="98" w16cid:durableId="1028214683">
    <w:abstractNumId w:val="121"/>
  </w:num>
  <w:num w:numId="99" w16cid:durableId="634682629">
    <w:abstractNumId w:val="64"/>
  </w:num>
  <w:num w:numId="100" w16cid:durableId="851652690">
    <w:abstractNumId w:val="6"/>
  </w:num>
  <w:num w:numId="101" w16cid:durableId="1575313132">
    <w:abstractNumId w:val="120"/>
  </w:num>
  <w:num w:numId="102" w16cid:durableId="936868865">
    <w:abstractNumId w:val="78"/>
  </w:num>
  <w:num w:numId="103" w16cid:durableId="353968617">
    <w:abstractNumId w:val="113"/>
  </w:num>
  <w:num w:numId="104" w16cid:durableId="2055502159">
    <w:abstractNumId w:val="149"/>
  </w:num>
  <w:num w:numId="105" w16cid:durableId="92673957">
    <w:abstractNumId w:val="59"/>
  </w:num>
  <w:num w:numId="106" w16cid:durableId="402678321">
    <w:abstractNumId w:val="100"/>
  </w:num>
  <w:num w:numId="107" w16cid:durableId="534587270">
    <w:abstractNumId w:val="92"/>
  </w:num>
  <w:num w:numId="108" w16cid:durableId="935096454">
    <w:abstractNumId w:val="5"/>
  </w:num>
  <w:num w:numId="109" w16cid:durableId="1123620333">
    <w:abstractNumId w:val="131"/>
  </w:num>
  <w:num w:numId="110" w16cid:durableId="412817779">
    <w:abstractNumId w:val="82"/>
  </w:num>
  <w:num w:numId="111" w16cid:durableId="619844658">
    <w:abstractNumId w:val="51"/>
  </w:num>
  <w:num w:numId="112" w16cid:durableId="1933581639">
    <w:abstractNumId w:val="49"/>
  </w:num>
  <w:num w:numId="113" w16cid:durableId="142089633">
    <w:abstractNumId w:val="95"/>
  </w:num>
  <w:num w:numId="114" w16cid:durableId="225455044">
    <w:abstractNumId w:val="14"/>
  </w:num>
  <w:num w:numId="115" w16cid:durableId="845440918">
    <w:abstractNumId w:val="28"/>
  </w:num>
  <w:num w:numId="116" w16cid:durableId="1862350748">
    <w:abstractNumId w:val="62"/>
  </w:num>
  <w:num w:numId="117" w16cid:durableId="2043743678">
    <w:abstractNumId w:val="39"/>
  </w:num>
  <w:num w:numId="118" w16cid:durableId="1544712465">
    <w:abstractNumId w:val="99"/>
  </w:num>
  <w:num w:numId="119" w16cid:durableId="731657162">
    <w:abstractNumId w:val="35"/>
  </w:num>
  <w:num w:numId="120" w16cid:durableId="1413963785">
    <w:abstractNumId w:val="19"/>
  </w:num>
  <w:num w:numId="121" w16cid:durableId="1028216381">
    <w:abstractNumId w:val="88"/>
  </w:num>
  <w:num w:numId="122" w16cid:durableId="769543586">
    <w:abstractNumId w:val="157"/>
  </w:num>
  <w:num w:numId="123" w16cid:durableId="1175806903">
    <w:abstractNumId w:val="52"/>
  </w:num>
  <w:num w:numId="124" w16cid:durableId="480540506">
    <w:abstractNumId w:val="10"/>
  </w:num>
  <w:num w:numId="125" w16cid:durableId="1241480052">
    <w:abstractNumId w:val="17"/>
  </w:num>
  <w:num w:numId="126" w16cid:durableId="1639992585">
    <w:abstractNumId w:val="108"/>
  </w:num>
  <w:num w:numId="127" w16cid:durableId="991105056">
    <w:abstractNumId w:val="58"/>
  </w:num>
  <w:num w:numId="128" w16cid:durableId="1647469150">
    <w:abstractNumId w:val="31"/>
  </w:num>
  <w:num w:numId="129" w16cid:durableId="1882672874">
    <w:abstractNumId w:val="79"/>
  </w:num>
  <w:num w:numId="130" w16cid:durableId="1218978865">
    <w:abstractNumId w:val="132"/>
  </w:num>
  <w:num w:numId="131" w16cid:durableId="1343507379">
    <w:abstractNumId w:val="106"/>
  </w:num>
  <w:num w:numId="132" w16cid:durableId="1110508105">
    <w:abstractNumId w:val="61"/>
  </w:num>
  <w:num w:numId="133" w16cid:durableId="1060709527">
    <w:abstractNumId w:val="22"/>
  </w:num>
  <w:num w:numId="134" w16cid:durableId="1034115355">
    <w:abstractNumId w:val="142"/>
  </w:num>
  <w:num w:numId="135" w16cid:durableId="1149130843">
    <w:abstractNumId w:val="159"/>
  </w:num>
  <w:num w:numId="136" w16cid:durableId="975259771">
    <w:abstractNumId w:val="9"/>
  </w:num>
  <w:num w:numId="137" w16cid:durableId="1856579009">
    <w:abstractNumId w:val="154"/>
  </w:num>
  <w:num w:numId="138" w16cid:durableId="2098818067">
    <w:abstractNumId w:val="118"/>
  </w:num>
  <w:num w:numId="139" w16cid:durableId="292055265">
    <w:abstractNumId w:val="146"/>
  </w:num>
  <w:num w:numId="140" w16cid:durableId="5982247">
    <w:abstractNumId w:val="128"/>
  </w:num>
  <w:num w:numId="141" w16cid:durableId="1649508094">
    <w:abstractNumId w:val="137"/>
  </w:num>
  <w:num w:numId="142" w16cid:durableId="696584026">
    <w:abstractNumId w:val="37"/>
  </w:num>
  <w:num w:numId="143" w16cid:durableId="1624996957">
    <w:abstractNumId w:val="71"/>
  </w:num>
  <w:num w:numId="144" w16cid:durableId="997267327">
    <w:abstractNumId w:val="69"/>
  </w:num>
  <w:num w:numId="145" w16cid:durableId="467284066">
    <w:abstractNumId w:val="150"/>
  </w:num>
  <w:num w:numId="146" w16cid:durableId="171333705">
    <w:abstractNumId w:val="26"/>
  </w:num>
  <w:num w:numId="147" w16cid:durableId="1182933850">
    <w:abstractNumId w:val="11"/>
  </w:num>
  <w:num w:numId="148" w16cid:durableId="1733654589">
    <w:abstractNumId w:val="36"/>
  </w:num>
  <w:num w:numId="149" w16cid:durableId="1478766944">
    <w:abstractNumId w:val="111"/>
  </w:num>
  <w:num w:numId="150" w16cid:durableId="1592229394">
    <w:abstractNumId w:val="133"/>
  </w:num>
  <w:num w:numId="151" w16cid:durableId="1091706330">
    <w:abstractNumId w:val="2"/>
  </w:num>
  <w:num w:numId="152" w16cid:durableId="781808092">
    <w:abstractNumId w:val="29"/>
  </w:num>
  <w:num w:numId="153" w16cid:durableId="1704288537">
    <w:abstractNumId w:val="16"/>
  </w:num>
  <w:num w:numId="154" w16cid:durableId="589775425">
    <w:abstractNumId w:val="141"/>
  </w:num>
  <w:num w:numId="155" w16cid:durableId="912202538">
    <w:abstractNumId w:val="48"/>
  </w:num>
  <w:num w:numId="156" w16cid:durableId="1224484220">
    <w:abstractNumId w:val="57"/>
  </w:num>
  <w:num w:numId="157" w16cid:durableId="1172451380">
    <w:abstractNumId w:val="119"/>
  </w:num>
  <w:num w:numId="158" w16cid:durableId="533540933">
    <w:abstractNumId w:val="163"/>
  </w:num>
  <w:num w:numId="159" w16cid:durableId="1651404080">
    <w:abstractNumId w:val="90"/>
  </w:num>
  <w:num w:numId="160" w16cid:durableId="1883050784">
    <w:abstractNumId w:val="107"/>
  </w:num>
  <w:num w:numId="161" w16cid:durableId="2142335586">
    <w:abstractNumId w:val="3"/>
  </w:num>
  <w:num w:numId="162" w16cid:durableId="2056078003">
    <w:abstractNumId w:val="124"/>
  </w:num>
  <w:num w:numId="163" w16cid:durableId="545527355">
    <w:abstractNumId w:val="47"/>
  </w:num>
  <w:num w:numId="164" w16cid:durableId="1874877688">
    <w:abstractNumId w:val="21"/>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19D"/>
    <w:rsid w:val="0093348E"/>
    <w:rsid w:val="00AB7F77"/>
    <w:rsid w:val="00FB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06F91"/>
  <w15:docId w15:val="{988B83A1-E100-4F16-BB34-E3FB753B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sz w:val="22"/>
        <w:szCs w:val="22"/>
        <w:lang w:val="en-US" w:eastAsia="en-US"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CV9P51nPa8SINXFGSgsyLAGn4MnQddA5GAvvI0r1_II/edit?usp=drivesdk&amp;ouid=115630150683047840611" TargetMode="External"/><Relationship Id="rId3" Type="http://schemas.openxmlformats.org/officeDocument/2006/relationships/settings" Target="settings.xml"/><Relationship Id="rId7" Type="http://schemas.openxmlformats.org/officeDocument/2006/relationships/hyperlink" Target="https://www.google.com/search?q=https://www.youtube.com/static?template%3D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PeCyQuf7q0" TargetMode="External"/><Relationship Id="rId11" Type="http://schemas.openxmlformats.org/officeDocument/2006/relationships/theme" Target="theme/theme1.xml"/><Relationship Id="rId5" Type="http://schemas.openxmlformats.org/officeDocument/2006/relationships/hyperlink" Target="https://gemini.google.com/app/4f9e2747304b6b3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CV9P51nPa8SINXFGSgsyLAGn4MnQddA5GAvvI0r1_II/edit?usp=drivesdk&amp;ouid=11563015068304784061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54</Pages>
  <Words>24295</Words>
  <Characters>138488</Characters>
  <Application>Microsoft Office Word</Application>
  <DocSecurity>0</DocSecurity>
  <Lines>1154</Lines>
  <Paragraphs>324</Paragraphs>
  <ScaleCrop>false</ScaleCrop>
  <Company/>
  <LinksUpToDate>false</LinksUpToDate>
  <CharactersWithSpaces>162459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Quoc Minh (Alliance Bioversity-CIAT)</cp:lastModifiedBy>
  <cp:revision>2</cp:revision>
  <dcterms:created xsi:type="dcterms:W3CDTF">2026-10-26T07:28:00Z</dcterms:created>
  <dcterms:modified xsi:type="dcterms:W3CDTF">2026-10-26T07:28:00Z</dcterms:modified>
</cp:coreProperties>
</file>