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48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RACE/ETHNICITY ASSOCIATED WITH THE OUTCOME OF MORTGAGE LOAN APPLICATION?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Group 4: Sourabh Gupta, Huy Le, Han Li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ability to get a mortgage is often the key to an individual's ability to purchase a home. The United States has enacted a variety of laws making it illegal for lenders to discriminate against members of historically disadvantaged groups, particularly minorities. In this report, we are addressing the research question “</w:t>
      </w:r>
      <w:r w:rsidDel="00000000" w:rsidR="00000000" w:rsidRPr="00000000">
        <w:rPr>
          <w:rFonts w:ascii="Times New Roman" w:cs="Times New Roman" w:eastAsia="Times New Roman" w:hAnsi="Times New Roman"/>
          <w:b w:val="0"/>
          <w:i w:val="1"/>
          <w:sz w:val="24"/>
          <w:szCs w:val="24"/>
          <w:rtl w:val="0"/>
        </w:rPr>
        <w:t xml:space="preserve">Controlling for relevant characteristics, does race/ethnicity associated with the outcome of mortgage loan application?</w:t>
      </w:r>
      <w:r w:rsidDel="00000000" w:rsidR="00000000" w:rsidRPr="00000000">
        <w:rPr>
          <w:rFonts w:ascii="Times New Roman" w:cs="Times New Roman" w:eastAsia="Times New Roman" w:hAnsi="Times New Roman"/>
          <w:b w:val="0"/>
          <w:sz w:val="24"/>
          <w:szCs w:val="24"/>
          <w:rtl w:val="0"/>
        </w:rPr>
        <w:t xml:space="preserve">” Over the last several years, race and ethnic composition of Boston has changed a lot. In 1980, more than two-third people were white, and this proportion is decreasing with time. But employment and education are increasing with time.  So, for this assessment we will use HMDA data from  1996 : Mortgage Lending in Boston, containing marital status, if credit history meets guidelines, gender, race(black/white/hispanic), loan amount requested per purchase price, other obligations as a percentage of total income and approval status of each application. Our resultant/dependent variable is Loan approval status (1 = approved, 0 = declined). Because our dependent variable is binary(can take only two values), we are using Probit and Logit model to estimate the probability that an applicant with particular characteristics will get loan approval or not. Probit model uses the cumulative distribution function(CDF) of the standard normal distribution and Logit model uses the cumulative distribution function(CDF) of </w:t>
      </w:r>
      <w:r w:rsidDel="00000000" w:rsidR="00000000" w:rsidRPr="00000000">
        <w:rPr>
          <w:rFonts w:ascii="Times New Roman" w:cs="Times New Roman" w:eastAsia="Times New Roman" w:hAnsi="Times New Roman"/>
          <w:b w:val="0"/>
          <w:sz w:val="24"/>
          <w:szCs w:val="24"/>
          <w:rtl w:val="0"/>
        </w:rPr>
        <w:t xml:space="preserve">logarithmic function</w:t>
      </w:r>
      <w:r w:rsidDel="00000000" w:rsidR="00000000" w:rsidRPr="00000000">
        <w:rPr>
          <w:rFonts w:ascii="Times New Roman" w:cs="Times New Roman" w:eastAsia="Times New Roman" w:hAnsi="Times New Roman"/>
          <w:b w:val="0"/>
          <w:sz w:val="24"/>
          <w:szCs w:val="24"/>
          <w:rtl w:val="0"/>
        </w:rPr>
        <w:t xml:space="preserve">. We are using Maximum likelihood estimation method to obtain the parameter estimates.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concluded that, the predicted probability of loan approval is slightly higher if White person apply for the loan as compared to other race but we can not conclude that </w:t>
      </w:r>
      <w:r w:rsidDel="00000000" w:rsidR="00000000" w:rsidRPr="00000000">
        <w:rPr>
          <w:rFonts w:ascii="Times New Roman" w:cs="Times New Roman" w:eastAsia="Times New Roman" w:hAnsi="Times New Roman"/>
          <w:b w:val="0"/>
          <w:color w:val="2d3b45"/>
          <w:sz w:val="24"/>
          <w:szCs w:val="24"/>
          <w:highlight w:val="white"/>
          <w:rtl w:val="0"/>
        </w:rPr>
        <w:t xml:space="preserve">mortgage lending decisions are discriminated against minorities because there are many other factors which can affect the result are not included in model like educational attainment, salary, etc.</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ECONOMETRIC MODEL AND ESTIMATION METHOD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this project, to address the question “</w:t>
      </w:r>
      <w:r w:rsidDel="00000000" w:rsidR="00000000" w:rsidRPr="00000000">
        <w:rPr>
          <w:rFonts w:ascii="Times New Roman" w:cs="Times New Roman" w:eastAsia="Times New Roman" w:hAnsi="Times New Roman"/>
          <w:b w:val="0"/>
          <w:i w:val="1"/>
          <w:sz w:val="24"/>
          <w:szCs w:val="24"/>
          <w:rtl w:val="0"/>
        </w:rPr>
        <w:t xml:space="preserve">Controlling for relevant characteristics, is race/ethnicity associated with the outcome of mortgage loan application?</w:t>
      </w:r>
      <w:r w:rsidDel="00000000" w:rsidR="00000000" w:rsidRPr="00000000">
        <w:rPr>
          <w:rFonts w:ascii="Times New Roman" w:cs="Times New Roman" w:eastAsia="Times New Roman" w:hAnsi="Times New Roman"/>
          <w:b w:val="0"/>
          <w:sz w:val="24"/>
          <w:szCs w:val="24"/>
          <w:rtl w:val="0"/>
        </w:rPr>
        <w:t xml:space="preserve">” we created models to estimate the impact of race/ethnicity on the approval of mortgage loan application. In this specification, our dependent variable - the outcome of mortgage loan application is binary and takes on the values either zero(denied) or one(approved). </w:t>
      </w:r>
      <w:r w:rsidDel="00000000" w:rsidR="00000000" w:rsidRPr="00000000">
        <w:rPr>
          <w:rFonts w:ascii="Times New Roman" w:cs="Times New Roman" w:eastAsia="Times New Roman" w:hAnsi="Times New Roman"/>
          <w:b w:val="0"/>
          <w:sz w:val="24"/>
          <w:szCs w:val="24"/>
          <w:rtl w:val="0"/>
        </w:rPr>
        <w:t xml:space="preserve">We used estimated probit and logit models to represent the impact of independent variables on the probability</w:t>
      </w:r>
      <w:r w:rsidDel="00000000" w:rsidR="00000000" w:rsidRPr="00000000">
        <w:rPr>
          <w:rFonts w:ascii="Times New Roman" w:cs="Times New Roman" w:eastAsia="Times New Roman" w:hAnsi="Times New Roman"/>
          <w:b w:val="0"/>
          <w:sz w:val="24"/>
          <w:szCs w:val="24"/>
          <w:rtl w:val="0"/>
        </w:rPr>
        <w:t xml:space="preserve"> of approval of a mortgage loan application P(outcome = “approved”).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set independent variables in both models are race/ethnicity, marital status, credit history meets guideline, other obligations as a percent of total income, loan amount/purchase prices. We used race/ethnicity as we want to address the impact of race and ethnicity on the outcome of mortgage loan application.   race and ethnicity, we added marital status which can indicate the potential </w:t>
      </w:r>
      <w:r w:rsidDel="00000000" w:rsidR="00000000" w:rsidRPr="00000000">
        <w:rPr>
          <w:rFonts w:ascii="Times New Roman" w:cs="Times New Roman" w:eastAsia="Times New Roman" w:hAnsi="Times New Roman"/>
          <w:b w:val="0"/>
          <w:sz w:val="24"/>
          <w:szCs w:val="24"/>
          <w:rtl w:val="0"/>
        </w:rPr>
        <w:t xml:space="preserve">ability</w:t>
      </w:r>
      <w:r w:rsidDel="00000000" w:rsidR="00000000" w:rsidRPr="00000000">
        <w:rPr>
          <w:rFonts w:ascii="Times New Roman" w:cs="Times New Roman" w:eastAsia="Times New Roman" w:hAnsi="Times New Roman"/>
          <w:b w:val="0"/>
          <w:sz w:val="24"/>
          <w:szCs w:val="24"/>
          <w:rtl w:val="0"/>
        </w:rPr>
        <w:t xml:space="preserve"> to meet repayment on the loan of applicant, since many applicants are co-applicant with their spouse and when controlling other factors the total earnings of a married applicant is higher than a single applicant. To make our result is more reliable, we also included credit history (guideline), other obligations and loan to value ratio because those factors are considered in making mortgage decisions.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probit model, the dependent variable is the probability of approving P(outcome = approved).</w:t>
      </w:r>
      <w:r w:rsidDel="00000000" w:rsidR="00000000" w:rsidRPr="00000000">
        <w:rPr>
          <w:rFonts w:ascii="Times New Roman" w:cs="Times New Roman" w:eastAsia="Times New Roman" w:hAnsi="Times New Roman"/>
          <w:b w:val="0"/>
          <w:sz w:val="24"/>
          <w:szCs w:val="24"/>
          <w:rtl w:val="0"/>
        </w:rPr>
        <w:t xml:space="preserve"> We applied a probit model to address the relationship between the probability of mortgage loan approval and race/ethnicity. Probit models are nonlinear regressions where coefficient are fitted with the maximum likelihood to the following function: </w:t>
      </w:r>
    </w:p>
    <w:p w:rsidR="00000000" w:rsidDel="00000000" w:rsidP="00000000" w:rsidRDefault="00000000" w:rsidRPr="00000000" w14:paraId="0000000C">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rtl w:val="0"/>
        </w:rPr>
        <w:t xml:space="preserve">P(y = 1∣∣ x) = G(𝛽</w:t>
      </w:r>
      <w:r w:rsidDel="00000000" w:rsidR="00000000" w:rsidRPr="00000000">
        <w:rPr>
          <w:rFonts w:ascii="Times New Roman" w:cs="Times New Roman" w:eastAsia="Times New Roman" w:hAnsi="Times New Roman"/>
          <w:b w:val="0"/>
          <w:sz w:val="16"/>
          <w:szCs w:val="16"/>
          <w:rtl w:val="0"/>
        </w:rPr>
        <w:t xml:space="preserve">0 </w:t>
      </w:r>
      <w:r w:rsidDel="00000000" w:rsidR="00000000" w:rsidRPr="00000000">
        <w:rPr>
          <w:rFonts w:ascii="Times New Roman" w:cs="Times New Roman" w:eastAsia="Times New Roman" w:hAnsi="Times New Roman"/>
          <w:b w:val="0"/>
          <w:rtl w:val="0"/>
        </w:rPr>
        <w:t xml:space="preserve">+ 𝛽</w:t>
      </w:r>
      <w:r w:rsidDel="00000000" w:rsidR="00000000" w:rsidRPr="00000000">
        <w:rPr>
          <w:rFonts w:ascii="Times New Roman" w:cs="Times New Roman" w:eastAsia="Times New Roman" w:hAnsi="Times New Roman"/>
          <w:b w:val="0"/>
          <w:sz w:val="16"/>
          <w:szCs w:val="16"/>
          <w:rtl w:val="0"/>
        </w:rPr>
        <w:t xml:space="preserve">1</w:t>
      </w:r>
      <w:r w:rsidDel="00000000" w:rsidR="00000000" w:rsidRPr="00000000">
        <w:rPr>
          <w:rFonts w:ascii="Times New Roman" w:cs="Times New Roman" w:eastAsia="Times New Roman" w:hAnsi="Times New Roman"/>
          <w:b w:val="0"/>
          <w:rtl w:val="0"/>
        </w:rPr>
        <w:t xml:space="preserve">x</w:t>
      </w:r>
      <w:r w:rsidDel="00000000" w:rsidR="00000000" w:rsidRPr="00000000">
        <w:rPr>
          <w:rFonts w:ascii="Times New Roman" w:cs="Times New Roman" w:eastAsia="Times New Roman" w:hAnsi="Times New Roman"/>
          <w:b w:val="0"/>
          <w:sz w:val="16"/>
          <w:szCs w:val="16"/>
          <w:rtl w:val="0"/>
        </w:rPr>
        <w:t xml:space="preserve">1 </w:t>
      </w:r>
      <w:r w:rsidDel="00000000" w:rsidR="00000000" w:rsidRPr="00000000">
        <w:rPr>
          <w:rFonts w:ascii="Times New Roman" w:cs="Times New Roman" w:eastAsia="Times New Roman" w:hAnsi="Times New Roman"/>
          <w:b w:val="0"/>
          <w:rtl w:val="0"/>
        </w:rPr>
        <w:t xml:space="preserve">+ 𝛽</w:t>
      </w:r>
      <w:r w:rsidDel="00000000" w:rsidR="00000000" w:rsidRPr="00000000">
        <w:rPr>
          <w:rFonts w:ascii="Times New Roman" w:cs="Times New Roman" w:eastAsia="Times New Roman" w:hAnsi="Times New Roman"/>
          <w:b w:val="0"/>
          <w:sz w:val="16"/>
          <w:szCs w:val="16"/>
          <w:rtl w:val="0"/>
        </w:rPr>
        <w:t xml:space="preserve">2</w:t>
      </w:r>
      <w:r w:rsidDel="00000000" w:rsidR="00000000" w:rsidRPr="00000000">
        <w:rPr>
          <w:rFonts w:ascii="Times New Roman" w:cs="Times New Roman" w:eastAsia="Times New Roman" w:hAnsi="Times New Roman"/>
          <w:b w:val="0"/>
          <w:rtl w:val="0"/>
        </w:rPr>
        <w:t xml:space="preserve">x</w:t>
      </w:r>
      <w:r w:rsidDel="00000000" w:rsidR="00000000" w:rsidRPr="00000000">
        <w:rPr>
          <w:rFonts w:ascii="Times New Roman" w:cs="Times New Roman" w:eastAsia="Times New Roman" w:hAnsi="Times New Roman"/>
          <w:b w:val="0"/>
          <w:sz w:val="16"/>
          <w:szCs w:val="16"/>
          <w:rtl w:val="0"/>
        </w:rPr>
        <w:t xml:space="preserve">2 </w:t>
      </w:r>
      <w:r w:rsidDel="00000000" w:rsidR="00000000" w:rsidRPr="00000000">
        <w:rPr>
          <w:rFonts w:ascii="Times New Roman" w:cs="Times New Roman" w:eastAsia="Times New Roman" w:hAnsi="Times New Roman"/>
          <w:b w:val="0"/>
          <w:rtl w:val="0"/>
        </w:rPr>
        <w:t xml:space="preserve">+ … + 𝛽</w:t>
      </w:r>
      <w:r w:rsidDel="00000000" w:rsidR="00000000" w:rsidRPr="00000000">
        <w:rPr>
          <w:rFonts w:ascii="Times New Roman" w:cs="Times New Roman" w:eastAsia="Times New Roman" w:hAnsi="Times New Roman"/>
          <w:b w:val="0"/>
          <w:sz w:val="16"/>
          <w:szCs w:val="16"/>
          <w:rtl w:val="0"/>
        </w:rPr>
        <w:t xml:space="preserve">k</w:t>
      </w:r>
      <w:r w:rsidDel="00000000" w:rsidR="00000000" w:rsidRPr="00000000">
        <w:rPr>
          <w:rFonts w:ascii="Times New Roman" w:cs="Times New Roman" w:eastAsia="Times New Roman" w:hAnsi="Times New Roman"/>
          <w:b w:val="0"/>
          <w:rtl w:val="0"/>
        </w:rPr>
        <w:t xml:space="preserve">x</w:t>
      </w:r>
      <w:r w:rsidDel="00000000" w:rsidR="00000000" w:rsidRPr="00000000">
        <w:rPr>
          <w:rFonts w:ascii="Times New Roman" w:cs="Times New Roman" w:eastAsia="Times New Roman" w:hAnsi="Times New Roman"/>
          <w:b w:val="0"/>
          <w:sz w:val="16"/>
          <w:szCs w:val="16"/>
          <w:rtl w:val="0"/>
        </w:rPr>
        <w:t xml:space="preserve">k</w:t>
      </w:r>
      <w:r w:rsidDel="00000000" w:rsidR="00000000" w:rsidRPr="00000000">
        <w:rPr>
          <w:rFonts w:ascii="Times New Roman" w:cs="Times New Roman" w:eastAsia="Times New Roman" w:hAnsi="Times New Roman"/>
          <w:b w:val="0"/>
          <w:rtl w:val="0"/>
        </w:rPr>
        <w:t xml:space="preserve">) = G(z)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Where G is the cumulative distribution of the standard normal distribution, x</w:t>
      </w:r>
      <w:r w:rsidDel="00000000" w:rsidR="00000000" w:rsidRPr="00000000">
        <w:rPr>
          <w:rFonts w:ascii="Times New Roman" w:cs="Times New Roman" w:eastAsia="Times New Roman" w:hAnsi="Times New Roman"/>
          <w:b w:val="0"/>
          <w:sz w:val="32"/>
          <w:szCs w:val="32"/>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 is the independent variable, β</w:t>
      </w:r>
      <w:r w:rsidDel="00000000" w:rsidR="00000000" w:rsidRPr="00000000">
        <w:rPr>
          <w:rFonts w:ascii="Times New Roman" w:cs="Times New Roman" w:eastAsia="Times New Roman" w:hAnsi="Times New Roman"/>
          <w:b w:val="0"/>
          <w:sz w:val="32"/>
          <w:szCs w:val="32"/>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 is the coefficients to be estimated.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logit model, we chose to model the natural log odds of approval. The estimated coefficient in logit model represents the change in the natural logarithm of the odds ratio of the outcome which associates with one unit change in the independent variables.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estimate the binary dependent variable models we applied the maximum likelihood estimation (MLE) method for both probit and logit model. This method obtains the parameter estimates by finding the parameter values that maximize the likelihood function.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DATA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3.1 Data sourc</w:t>
      </w:r>
      <w:r w:rsidDel="00000000" w:rsidR="00000000" w:rsidRPr="00000000">
        <w:rPr>
          <w:rFonts w:ascii="Times New Roman" w:cs="Times New Roman" w:eastAsia="Times New Roman" w:hAnsi="Times New Roman"/>
          <w:b w:val="0"/>
          <w:sz w:val="24"/>
          <w:szCs w:val="24"/>
          <w:rtl w:val="0"/>
        </w:rPr>
        <w:t xml:space="preserve">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this project, we used data from  </w:t>
      </w:r>
      <w:r w:rsidDel="00000000" w:rsidR="00000000" w:rsidRPr="00000000">
        <w:rPr>
          <w:rFonts w:ascii="Times New Roman" w:cs="Times New Roman" w:eastAsia="Times New Roman" w:hAnsi="Times New Roman"/>
          <w:b w:val="0"/>
          <w:sz w:val="24"/>
          <w:szCs w:val="24"/>
          <w:rtl w:val="0"/>
        </w:rPr>
        <w:t xml:space="preserve">Mortgage Lending in Boston: HMDA data.</w:t>
      </w:r>
      <w:r w:rsidDel="00000000" w:rsidR="00000000" w:rsidRPr="00000000">
        <w:rPr>
          <w:rFonts w:ascii="Times New Roman" w:cs="Times New Roman" w:eastAsia="Times New Roman" w:hAnsi="Times New Roman"/>
          <w:b w:val="0"/>
          <w:sz w:val="24"/>
          <w:szCs w:val="24"/>
          <w:rtl w:val="0"/>
        </w:rPr>
        <w:t xml:space="preserve"> As per the data, 66% mortgage loan applications made by married applicants. We assume that married applicants have high chances to get approval. Meeting credit history guidelines is the most important factor in the loan approval decision. In this data, 91% of applications had credit history guidelines met. 90% of applicants in this data are White people and 81% of applicants are male. Another important criteria in loan approval decision is obligations as a percent of income. Higher the obligations, less the chances. In HMDA data, on average applicants have </w:t>
      </w:r>
      <w:r w:rsidDel="00000000" w:rsidR="00000000" w:rsidRPr="00000000">
        <w:rPr>
          <w:rFonts w:ascii="Times New Roman" w:cs="Times New Roman" w:eastAsia="Times New Roman" w:hAnsi="Times New Roman"/>
          <w:b w:val="0"/>
          <w:sz w:val="24"/>
          <w:szCs w:val="24"/>
          <w:rtl w:val="0"/>
        </w:rPr>
        <w:t xml:space="preserve">32% of their income for other obligations.</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 Variables, measurement, and selection criteria.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48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original data, it contains 1989 observations with 8 variables. Table 1 contains the name and description of these variables. All of the applicant in the dataset are either non-Hispanic white, non-Hispanic black or Hispanic.</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conducting basic analysis, we noticed that there are observations has wrong value in their features. Three observations have marital status as “.”, two observations have Credit meet guidelines as “666”. We exclude these 5 observations from the dataset for model estimation. We controlled for all of applicant characteristics in the dataset that may influence the probability of approval except gender of applicant. We believe that there are applications that the spouse may be a co-applicant. After making the restriction, our sample size is 1984 with 7 variables.</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3.1 Description of Variables</w:t>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350"/>
        <w:tblGridChange w:id="0">
          <w:tblGrid>
            <w:gridCol w:w="1425"/>
            <w:gridCol w:w="7350"/>
          </w:tblGrid>
        </w:tblGridChange>
      </w:tblGrid>
      <w:tr>
        <w:trPr>
          <w:trHeight w:val="740" w:hRule="atLeast"/>
        </w:trPr>
        <w:tc>
          <w:tcPr>
            <w:tcBorders>
              <w:top w:color="000000"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Variable</w:t>
            </w:r>
          </w:p>
        </w:tc>
        <w:tc>
          <w:tcPr>
            <w:tcBorders>
              <w:top w:color="000000"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Description</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APPROVE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the mortgage loan was approved,  0 is denied</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GDLIN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the applicant credit history meets guidelines, 0 does not meet</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LOANPRC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Loan amount/purchase price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OBRAT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Other obligations as a percent of total income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male, = 0 female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MARRIED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married, = 0 is otherwise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BLACK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black, = 0 otherwise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HISPAN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if Hispanic, = 0 otherwise</w:t>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Descriptive statistic</w:t>
      </w:r>
    </w:p>
    <w:tbl>
      <w:tblPr>
        <w:tblStyle w:val="Table2"/>
        <w:tblW w:w="1021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625"/>
        <w:gridCol w:w="105"/>
        <w:gridCol w:w="4530"/>
        <w:tblGridChange w:id="0">
          <w:tblGrid>
            <w:gridCol w:w="2955"/>
            <w:gridCol w:w="2625"/>
            <w:gridCol w:w="105"/>
            <w:gridCol w:w="4530"/>
          </w:tblGrid>
        </w:tblGridChange>
      </w:tblGrid>
      <w:tr>
        <w:trPr>
          <w:trHeight w:val="500" w:hRule="atLeast"/>
        </w:trPr>
        <w:tc>
          <w:tcPr>
            <w:gridSpan w:val="4"/>
            <w:tcBorders>
              <w:top w:color="000000" w:space="0" w:sz="8" w:val="single"/>
              <w:left w:color="ffffff"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3.2 Descriptive statistic</w:t>
            </w:r>
          </w:p>
        </w:tc>
      </w:tr>
      <w:tr>
        <w:trPr>
          <w:trHeight w:val="50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Number observation</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Percentage of sample</w:t>
            </w:r>
          </w:p>
        </w:tc>
      </w:tr>
      <w:tr>
        <w:trPr>
          <w:trHeight w:val="500" w:hRule="atLeast"/>
        </w:trPr>
        <w:tc>
          <w:tcPr>
            <w:gridSpan w:val="4"/>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Marital status</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tab/>
              <w:t xml:space="preserve">Married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highlight w:val="white"/>
              </w:rPr>
            </w:pPr>
            <w:r w:rsidDel="00000000" w:rsidR="00000000" w:rsidRPr="00000000">
              <w:rPr>
                <w:rFonts w:ascii="Times New Roman" w:cs="Times New Roman" w:eastAsia="Times New Roman" w:hAnsi="Times New Roman"/>
                <w:b w:val="0"/>
                <w:color w:val="333333"/>
                <w:highlight w:val="white"/>
                <w:rtl w:val="0"/>
              </w:rPr>
              <w:t xml:space="preserve">1306</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highlight w:val="white"/>
              </w:rPr>
            </w:pPr>
            <w:r w:rsidDel="00000000" w:rsidR="00000000" w:rsidRPr="00000000">
              <w:rPr>
                <w:rFonts w:ascii="Times New Roman" w:cs="Times New Roman" w:eastAsia="Times New Roman" w:hAnsi="Times New Roman"/>
                <w:b w:val="0"/>
                <w:color w:val="333333"/>
                <w:highlight w:val="white"/>
                <w:rtl w:val="0"/>
              </w:rPr>
              <w:t xml:space="preserve">65.8%</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tab/>
              <w:t xml:space="preserve">Unmarried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highlight w:val="white"/>
              </w:rPr>
            </w:pPr>
            <w:r w:rsidDel="00000000" w:rsidR="00000000" w:rsidRPr="00000000">
              <w:rPr>
                <w:rFonts w:ascii="Times New Roman" w:cs="Times New Roman" w:eastAsia="Times New Roman" w:hAnsi="Times New Roman"/>
                <w:b w:val="0"/>
                <w:color w:val="333333"/>
                <w:highlight w:val="white"/>
                <w:rtl w:val="0"/>
              </w:rPr>
              <w:t xml:space="preserve">678</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highlight w:val="white"/>
              </w:rPr>
            </w:pPr>
            <w:r w:rsidDel="00000000" w:rsidR="00000000" w:rsidRPr="00000000">
              <w:rPr>
                <w:rFonts w:ascii="Times New Roman" w:cs="Times New Roman" w:eastAsia="Times New Roman" w:hAnsi="Times New Roman"/>
                <w:b w:val="0"/>
                <w:color w:val="333333"/>
                <w:highlight w:val="white"/>
                <w:rtl w:val="0"/>
              </w:rPr>
              <w:t xml:space="preserve">34.2%</w:t>
            </w:r>
          </w:p>
        </w:tc>
      </w:tr>
      <w:tr>
        <w:trPr>
          <w:trHeight w:val="480" w:hRule="atLeast"/>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Guideline</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Does not meet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171</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8.6%</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tab/>
              <w:t xml:space="preserve">Meet guideline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1813</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91.4%</w:t>
            </w:r>
          </w:p>
        </w:tc>
      </w:tr>
      <w:tr>
        <w:trPr>
          <w:trHeight w:val="480" w:hRule="atLeast"/>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Gender</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368</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18.5%</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1601</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80.7%</w:t>
            </w:r>
          </w:p>
        </w:tc>
      </w:tr>
      <w:tr>
        <w:trPr>
          <w:trHeight w:val="440" w:hRule="atLeast"/>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Race/ethnicity</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Black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197</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9.9%</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Hispanic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110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5.5%</w:t>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     </w:t>
              <w:tab/>
              <w:t xml:space="preserve">White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highlight w:val="white"/>
              </w:rPr>
            </w:pPr>
            <w:r w:rsidDel="00000000" w:rsidR="00000000" w:rsidRPr="00000000">
              <w:rPr>
                <w:rFonts w:ascii="Times New Roman" w:cs="Times New Roman" w:eastAsia="Times New Roman" w:hAnsi="Times New Roman"/>
                <w:b w:val="0"/>
                <w:color w:val="333333"/>
                <w:highlight w:val="white"/>
                <w:rtl w:val="0"/>
              </w:rPr>
              <w:t xml:space="preserve">1677</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84.6%</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Approve</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244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ind w:left="-100" w:firstLine="0"/>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12.4%</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Denied</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1740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40" w:lineRule="auto"/>
              <w:ind w:left="-100" w:firstLine="0"/>
              <w:rPr>
                <w:rFonts w:ascii="Times New Roman" w:cs="Times New Roman" w:eastAsia="Times New Roman" w:hAnsi="Times New Roman"/>
                <w:b w:val="0"/>
                <w:color w:val="333333"/>
              </w:rPr>
            </w:pPr>
            <w:r w:rsidDel="00000000" w:rsidR="00000000" w:rsidRPr="00000000">
              <w:rPr>
                <w:rFonts w:ascii="Times New Roman" w:cs="Times New Roman" w:eastAsia="Times New Roman" w:hAnsi="Times New Roman"/>
                <w:b w:val="0"/>
                <w:color w:val="333333"/>
                <w:rtl w:val="0"/>
              </w:rPr>
              <w:t xml:space="preserve">87.6%</w:t>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tbl>
      <w:tblPr>
        <w:tblStyle w:val="Table3"/>
        <w:tblW w:w="996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960"/>
        <w:gridCol w:w="105"/>
        <w:gridCol w:w="1185"/>
        <w:gridCol w:w="1710"/>
        <w:gridCol w:w="195"/>
        <w:gridCol w:w="1155"/>
        <w:gridCol w:w="2115"/>
        <w:gridCol w:w="240"/>
        <w:tblGridChange w:id="0">
          <w:tblGrid>
            <w:gridCol w:w="2295"/>
            <w:gridCol w:w="960"/>
            <w:gridCol w:w="105"/>
            <w:gridCol w:w="1185"/>
            <w:gridCol w:w="1710"/>
            <w:gridCol w:w="195"/>
            <w:gridCol w:w="1155"/>
            <w:gridCol w:w="2115"/>
            <w:gridCol w:w="240"/>
          </w:tblGrid>
        </w:tblGridChange>
      </w:tblGrid>
      <w:tr>
        <w:trPr>
          <w:trHeight w:val="420" w:hRule="atLeast"/>
        </w:trPr>
        <w:tc>
          <w:tcPr>
            <w:gridSpan w:val="8"/>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3.3 overall Descriptive - Quantitative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tc>
      </w:tr>
      <w:tr>
        <w:trPr>
          <w:trHeight w:val="620"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Min</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Mean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Max</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Median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Other Obligation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0.00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95.00%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tc>
      </w:tr>
      <w:tr>
        <w:trPr>
          <w:trHeight w:val="50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Loan amount/purchase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257%</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sz w:val="24"/>
          <w:szCs w:val="24"/>
        </w:rPr>
      </w:pPr>
      <w:r w:rsidDel="00000000" w:rsidR="00000000" w:rsidRPr="00000000">
        <w:rPr>
          <w:rtl w:val="0"/>
        </w:rPr>
      </w:r>
    </w:p>
    <w:tbl>
      <w:tblPr>
        <w:tblStyle w:val="Table4"/>
        <w:tblW w:w="7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05"/>
        <w:gridCol w:w="1005"/>
        <w:gridCol w:w="1005"/>
        <w:gridCol w:w="1005"/>
        <w:gridCol w:w="840"/>
        <w:gridCol w:w="990"/>
        <w:tblGridChange w:id="0">
          <w:tblGrid>
            <w:gridCol w:w="1710"/>
            <w:gridCol w:w="1005"/>
            <w:gridCol w:w="1005"/>
            <w:gridCol w:w="1005"/>
            <w:gridCol w:w="1005"/>
            <w:gridCol w:w="840"/>
            <w:gridCol w:w="990"/>
          </w:tblGrid>
        </w:tblGridChange>
      </w:tblGrid>
      <w:tr>
        <w:trPr>
          <w:trHeight w:val="500" w:hRule="atLeast"/>
        </w:trPr>
        <w:tc>
          <w:tcPr>
            <w:gridSpan w:val="7"/>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3.4: Descriptive statistic categorical variable</w:t>
            </w:r>
          </w:p>
        </w:tc>
      </w:tr>
      <w:tr>
        <w:trPr>
          <w:trHeight w:val="500"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Hispanic</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w:t>
            </w:r>
          </w:p>
        </w:tc>
      </w:tr>
      <w:tr>
        <w:trPr>
          <w:trHeight w:val="500" w:hRule="atLeast"/>
        </w:trPr>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32.50%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23.60%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154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9.2%</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Denied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133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67.50%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76.40%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1523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90.8%</w:t>
            </w:r>
          </w:p>
        </w:tc>
      </w:tr>
      <w:tr>
        <w:trPr>
          <w:trHeight w:val="700" w:hRule="atLeast"/>
        </w:trPr>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Unmarried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38.60%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28.20%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571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34.00%</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Married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121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61.40%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71.80%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1106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66.00%</w:t>
            </w:r>
          </w:p>
        </w:tc>
      </w:tr>
      <w:tr>
        <w:trPr>
          <w:trHeight w:val="500" w:hRule="atLeast"/>
        </w:trPr>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Guideline</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r>
      <w:tr>
        <w:trPr>
          <w:trHeight w:val="6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not meet</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26.90%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14.50%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102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6.10%</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144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73.10%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85.50%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1575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93.90%</w:t>
            </w:r>
          </w:p>
        </w:tc>
      </w:tr>
      <w:tr>
        <w:trPr>
          <w:trHeight w:val="500" w:hRule="atLeast"/>
        </w:trPr>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r w:rsidDel="00000000" w:rsidR="00000000" w:rsidRPr="00000000">
              <w:rPr>
                <w:rtl w:val="0"/>
              </w:rPr>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c>
          <w:tcPr>
            <w:tcBorders>
              <w:top w:color="000000" w:space="0" w:sz="0" w:val="nil"/>
              <w:left w:color="000000" w:space="0" w:sz="0" w:val="nil"/>
              <w:bottom w:color="dddddd"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25.90%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295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17.60%</w:t>
            </w:r>
          </w:p>
        </w:tc>
      </w:tr>
      <w:tr>
        <w:trPr>
          <w:trHeight w:val="48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144</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73.10%</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86</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78.20%</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1371</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81.80%</w:t>
            </w:r>
          </w:p>
        </w:tc>
      </w:tr>
    </w:tbl>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0"/>
          <w:sz w:val="24"/>
          <w:szCs w:val="24"/>
        </w:rPr>
      </w:pPr>
      <w:r w:rsidDel="00000000" w:rsidR="00000000" w:rsidRPr="00000000">
        <w:rPr>
          <w:rtl w:val="0"/>
        </w:rPr>
      </w:r>
    </w:p>
    <w:tbl>
      <w:tblPr>
        <w:tblStyle w:val="Table5"/>
        <w:tblW w:w="7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95"/>
        <w:gridCol w:w="945"/>
        <w:gridCol w:w="1035"/>
        <w:gridCol w:w="1035"/>
        <w:gridCol w:w="2100"/>
        <w:tblGridChange w:id="0">
          <w:tblGrid>
            <w:gridCol w:w="1845"/>
            <w:gridCol w:w="795"/>
            <w:gridCol w:w="945"/>
            <w:gridCol w:w="1035"/>
            <w:gridCol w:w="1035"/>
            <w:gridCol w:w="2100"/>
          </w:tblGrid>
        </w:tblGridChange>
      </w:tblGrid>
      <w:tr>
        <w:trPr>
          <w:trHeight w:val="500" w:hRule="atLeast"/>
        </w:trPr>
        <w:tc>
          <w:tcPr>
            <w:gridSpan w:val="6"/>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3.5: descriptive statistic by race/ethnicity</w:t>
            </w:r>
          </w:p>
        </w:tc>
      </w:tr>
      <w:tr>
        <w:trPr>
          <w:trHeight w:val="500" w:hRule="atLeast"/>
        </w:trPr>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Deviation</w:t>
            </w:r>
          </w:p>
        </w:tc>
      </w:tr>
      <w:tr>
        <w:trPr>
          <w:trHeight w:val="50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Obligation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34.94%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8.16%</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24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14.6%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33.41%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8.45%</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32.03%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32.5%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8.20%</w:t>
            </w:r>
          </w:p>
        </w:tc>
      </w:tr>
      <w:tr>
        <w:trPr>
          <w:trHeight w:val="480" w:hRule="atLeast"/>
        </w:trPr>
        <w:tc>
          <w:tcPr>
            <w:gridSpan w:val="6"/>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amount/purchase</w:t>
            </w:r>
          </w:p>
        </w:tc>
      </w:tr>
      <w:tr>
        <w:trPr>
          <w:trHeight w:val="42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256</w:t>
            </w:r>
            <w:r w:rsidDel="00000000" w:rsidR="00000000" w:rsidRPr="00000000">
              <w:rPr>
                <w:rFonts w:ascii="Times New Roman" w:cs="Times New Roman" w:eastAsia="Times New Roman" w:hAnsi="Times New Roman"/>
                <w:b w:val="0"/>
                <w:rtl w:val="0"/>
              </w:rPr>
              <w:t xml:space="preserv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18%</w:t>
            </w:r>
          </w:p>
        </w:tc>
      </w:tr>
      <w:tr>
        <w:trPr>
          <w:trHeight w:val="4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39</w:t>
            </w:r>
            <w:r w:rsidDel="00000000" w:rsidR="00000000" w:rsidRPr="00000000">
              <w:rPr>
                <w:rFonts w:ascii="Times New Roman" w:cs="Times New Roman" w:eastAsia="Times New Roman" w:hAnsi="Times New Roman"/>
                <w:b w:val="0"/>
                <w:rtl w:val="0"/>
              </w:rPr>
              <w:t xml:space="preserv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163%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89</w:t>
            </w:r>
            <w:r w:rsidDel="00000000" w:rsidR="00000000" w:rsidRPr="00000000">
              <w:rPr>
                <w:rFonts w:ascii="Times New Roman" w:cs="Times New Roman" w:eastAsia="Times New Roman" w:hAnsi="Times New Roman"/>
                <w:b w:val="0"/>
                <w:rtl w:val="0"/>
              </w:rPr>
              <w:t xml:space="preserv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15%</w:t>
            </w:r>
          </w:p>
        </w:tc>
      </w:tr>
      <w:tr>
        <w:trPr>
          <w:trHeight w:val="48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76%</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257%</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80%</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240"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w:t>
            </w:r>
          </w:p>
        </w:tc>
      </w:tr>
    </w:tbl>
    <w:p w:rsidR="00000000" w:rsidDel="00000000" w:rsidP="00000000" w:rsidRDefault="00000000" w:rsidRPr="00000000" w14:paraId="00000136">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Result</w:t>
      </w:r>
    </w:p>
    <w:p w:rsidR="00000000" w:rsidDel="00000000" w:rsidP="00000000" w:rsidRDefault="00000000" w:rsidRPr="00000000" w14:paraId="00000137">
      <w:pPr>
        <w:spacing w:after="0" w:before="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In this paper, we would like to answer the question “Controlling for relevant characteristics, is race/ethnicity associated with the outcome of a mortgage loan application?” To address this question, we estimate logit and probit models of loan approval by using marital status, meeting guideline, other obligations, loan divided by purchase and races as variables. </w:t>
      </w:r>
    </w:p>
    <w:p w:rsidR="00000000" w:rsidDel="00000000" w:rsidP="00000000" w:rsidRDefault="00000000" w:rsidRPr="00000000" w14:paraId="00000138">
      <w:pPr>
        <w:spacing w:after="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 Estimated Model</w:t>
      </w:r>
    </w:p>
    <w:p w:rsidR="00000000" w:rsidDel="00000000" w:rsidP="00000000" w:rsidRDefault="00000000" w:rsidRPr="00000000" w14:paraId="00000139">
      <w:pPr>
        <w:spacing w:before="180" w:line="480" w:lineRule="auto"/>
        <w:rPr>
          <w:rFonts w:ascii="Times New Roman" w:cs="Times New Roman" w:eastAsia="Times New Roman" w:hAnsi="Times New Roman"/>
          <w:i w:val="1"/>
          <w:color w:val="2d3b45"/>
          <w:sz w:val="20"/>
          <w:szCs w:val="20"/>
          <w:highlight w:val="white"/>
        </w:rPr>
      </w:pPr>
      <w:r w:rsidDel="00000000" w:rsidR="00000000" w:rsidRPr="00000000">
        <w:rPr>
          <w:rFonts w:ascii="Times New Roman" w:cs="Times New Roman" w:eastAsia="Times New Roman" w:hAnsi="Times New Roman"/>
          <w:i w:val="1"/>
          <w:color w:val="2d3b45"/>
          <w:sz w:val="20"/>
          <w:szCs w:val="20"/>
          <w:highlight w:val="white"/>
          <w:rtl w:val="0"/>
        </w:rPr>
        <w:t xml:space="preserve">Table 4.1 Logit and Probit models of Loan Approval with Mean Loan to Value and Other Obligations</w:t>
      </w:r>
    </w:p>
    <w:tbl>
      <w:tblPr>
        <w:tblStyle w:val="Table6"/>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550"/>
        <w:gridCol w:w="1365"/>
        <w:gridCol w:w="2595"/>
        <w:tblGridChange w:id="0">
          <w:tblGrid>
            <w:gridCol w:w="2640"/>
            <w:gridCol w:w="2550"/>
            <w:gridCol w:w="1365"/>
            <w:gridCol w:w="2595"/>
          </w:tblGrid>
        </w:tblGridChange>
      </w:tblGrid>
      <w:tr>
        <w:trPr>
          <w:trHeight w:val="480" w:hRule="atLeast"/>
        </w:trPr>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Dependent Variable</w:t>
            </w:r>
          </w:p>
        </w:tc>
        <w:tc>
          <w:tcPr>
            <w:gridSpan w:val="2"/>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Logit Models</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Probit Models</w:t>
            </w:r>
          </w:p>
        </w:tc>
      </w:tr>
      <w:tr>
        <w:trPr>
          <w:trHeight w:val="840" w:hRule="atLeast"/>
        </w:trPr>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Parameter Estimates</w:t>
            </w:r>
          </w:p>
          <w:p w:rsidR="00000000" w:rsidDel="00000000" w:rsidP="00000000" w:rsidRDefault="00000000" w:rsidRPr="00000000" w14:paraId="00000140">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(Standard Deviation)</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Odds Ratios</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Parameter Estimates</w:t>
            </w:r>
          </w:p>
          <w:p w:rsidR="00000000" w:rsidDel="00000000" w:rsidP="00000000" w:rsidRDefault="00000000" w:rsidRPr="00000000" w14:paraId="00000143">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(Standard Deviation)</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Variable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r>
      <w:tr>
        <w:trPr>
          <w:trHeight w:val="440" w:hRule="atLeast"/>
        </w:trPr>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Married</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0.458* (0.181)</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1.580</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0.227** (0.090)</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Meet Guideline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3.731*** (0.217)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41.739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2.149*** (0.121)</w:t>
            </w:r>
          </w:p>
        </w:tc>
      </w:tr>
      <w:tr>
        <w:trPr>
          <w:trHeight w:val="420" w:hRule="atLeast"/>
        </w:trPr>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Black</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-0.804*** (0.239) </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0" w:line="240" w:lineRule="auto"/>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     0.447</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-0.418*** (0.126)</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Hispan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-0.891** (0.310)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0" w:line="240" w:lineRule="auto"/>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     0.410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-0.457*** (0.163)</w:t>
            </w:r>
          </w:p>
        </w:tc>
      </w:tr>
      <w:tr>
        <w:trPr>
          <w:trHeight w:val="920" w:hRule="atLeast"/>
        </w:trPr>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Other obligations</w:t>
            </w:r>
          </w:p>
          <w:p w:rsidR="00000000" w:rsidDel="00000000" w:rsidP="00000000" w:rsidRDefault="00000000" w:rsidRPr="00000000" w14:paraId="00000159">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(percent of total income)</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-0.034*** (0.010)</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     0.967</w:t>
            </w:r>
            <w:r w:rsidDel="00000000" w:rsidR="00000000" w:rsidRPr="00000000">
              <w:rPr>
                <w:rtl w:val="0"/>
              </w:rPr>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-0.016*** (0.005)</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Loan/purchase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-1.696*** (0.508)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     0.183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-0.847*** (0.259)</w:t>
            </w:r>
          </w:p>
        </w:tc>
      </w:tr>
      <w:tr>
        <w:trPr>
          <w:trHeight w:val="480" w:hRule="atLeast"/>
        </w:trPr>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Intercept</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1.357</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0.547</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Log-likelihood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-480.808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tl w:val="0"/>
              </w:rPr>
            </w:r>
          </w:p>
        </w:tc>
      </w:tr>
      <w:tr>
        <w:trPr>
          <w:trHeight w:val="440" w:hRule="atLeast"/>
        </w:trPr>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Sample Size</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1984</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1984</w:t>
            </w:r>
          </w:p>
        </w:tc>
      </w:tr>
      <w:tr>
        <w:trPr>
          <w:trHeight w:val="400" w:hRule="atLeast"/>
        </w:trPr>
        <w:tc>
          <w:tcPr>
            <w:gridSpan w:val="4"/>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rtl w:val="0"/>
              </w:rPr>
              <w:t xml:space="preserve">*p&lt;0.10, **p&lt;0.05, ***p&lt;0.01</w:t>
            </w:r>
            <w:r w:rsidDel="00000000" w:rsidR="00000000" w:rsidRPr="00000000">
              <w:rPr>
                <w:rtl w:val="0"/>
              </w:rPr>
            </w:r>
          </w:p>
        </w:tc>
      </w:tr>
    </w:tbl>
    <w:p w:rsidR="00000000" w:rsidDel="00000000" w:rsidP="00000000" w:rsidRDefault="00000000" w:rsidRPr="00000000" w14:paraId="00000171">
      <w:pPr>
        <w:spacing w:after="180" w:before="180" w:line="480" w:lineRule="auto"/>
        <w:rPr>
          <w:rFonts w:ascii="Times New Roman" w:cs="Times New Roman" w:eastAsia="Times New Roman" w:hAnsi="Times New Roman"/>
          <w:b w:val="0"/>
          <w:color w:val="2d3b45"/>
          <w:highlight w:val="white"/>
        </w:rPr>
      </w:pPr>
      <w:r w:rsidDel="00000000" w:rsidR="00000000" w:rsidRPr="00000000">
        <w:rPr>
          <w:rtl w:val="0"/>
        </w:rPr>
      </w:r>
    </w:p>
    <w:p w:rsidR="00000000" w:rsidDel="00000000" w:rsidP="00000000" w:rsidRDefault="00000000" w:rsidRPr="00000000" w14:paraId="00000172">
      <w:pPr>
        <w:spacing w:after="180" w:before="180" w:line="480" w:lineRule="auto"/>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When we discuss the approval vs one specific variable below, the assumption is when holding other factors constant.</w:t>
      </w:r>
    </w:p>
    <w:p w:rsidR="00000000" w:rsidDel="00000000" w:rsidP="00000000" w:rsidRDefault="00000000" w:rsidRPr="00000000" w14:paraId="00000173">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4.1.1 Marriage</w:t>
      </w:r>
    </w:p>
    <w:p w:rsidR="00000000" w:rsidDel="00000000" w:rsidP="00000000" w:rsidRDefault="00000000" w:rsidRPr="00000000" w14:paraId="00000174">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From Table 4.1, we could find that the estimated coefficient of the married is positive in both logit and probit models. It indicates tha</w:t>
      </w:r>
      <w:r w:rsidDel="00000000" w:rsidR="00000000" w:rsidRPr="00000000">
        <w:rPr>
          <w:rFonts w:ascii="Times New Roman" w:cs="Times New Roman" w:eastAsia="Times New Roman" w:hAnsi="Times New Roman"/>
          <w:b w:val="0"/>
          <w:color w:val="2d3b45"/>
          <w:sz w:val="24"/>
          <w:szCs w:val="24"/>
          <w:highlight w:val="white"/>
          <w:rtl w:val="0"/>
        </w:rPr>
        <w:t xml:space="preserve">t</w:t>
      </w:r>
      <w:r w:rsidDel="00000000" w:rsidR="00000000" w:rsidRPr="00000000">
        <w:rPr>
          <w:rFonts w:ascii="Times New Roman" w:cs="Times New Roman" w:eastAsia="Times New Roman" w:hAnsi="Times New Roman"/>
          <w:b w:val="0"/>
          <w:color w:val="2d3b45"/>
          <w:sz w:val="24"/>
          <w:szCs w:val="24"/>
          <w:highlight w:val="white"/>
          <w:rtl w:val="0"/>
        </w:rPr>
        <w:t xml:space="preserve"> being married is an enhancement for an applicant to </w:t>
      </w:r>
      <w:r w:rsidDel="00000000" w:rsidR="00000000" w:rsidRPr="00000000">
        <w:rPr>
          <w:rFonts w:ascii="Times New Roman" w:cs="Times New Roman" w:eastAsia="Times New Roman" w:hAnsi="Times New Roman"/>
          <w:b w:val="0"/>
          <w:color w:val="2d3b45"/>
          <w:sz w:val="24"/>
          <w:szCs w:val="24"/>
          <w:highlight w:val="white"/>
          <w:rtl w:val="0"/>
        </w:rPr>
        <w:t xml:space="preserve">increase the chances of loan getting approved. It is statistically significant as the p-value is p-value is less than 0.1. The odds ratio is 1.580, which indicates that when holding other factors constant, </w:t>
      </w:r>
      <w:r w:rsidDel="00000000" w:rsidR="00000000" w:rsidRPr="00000000">
        <w:rPr>
          <w:rFonts w:ascii="Times New Roman" w:cs="Times New Roman" w:eastAsia="Times New Roman" w:hAnsi="Times New Roman"/>
          <w:b w:val="0"/>
          <w:color w:val="2d3b45"/>
          <w:sz w:val="24"/>
          <w:szCs w:val="24"/>
          <w:highlight w:val="white"/>
          <w:rtl w:val="0"/>
        </w:rPr>
        <w:t xml:space="preserve">the estimated odds of approval is 1.580 times higher for the married applicant than the unmarried</w:t>
      </w:r>
      <w:r w:rsidDel="00000000" w:rsidR="00000000" w:rsidRPr="00000000">
        <w:rPr>
          <w:rFonts w:ascii="Times New Roman" w:cs="Times New Roman" w:eastAsia="Times New Roman" w:hAnsi="Times New Roman"/>
          <w:b w:val="0"/>
          <w:color w:val="2d3b45"/>
          <w:sz w:val="24"/>
          <w:szCs w:val="24"/>
          <w:highlight w:val="white"/>
          <w:rtl w:val="0"/>
        </w:rPr>
        <w:t xml:space="preserve"> applicant.</w:t>
      </w:r>
    </w:p>
    <w:p w:rsidR="00000000" w:rsidDel="00000000" w:rsidP="00000000" w:rsidRDefault="00000000" w:rsidRPr="00000000" w14:paraId="00000175">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4.1.2 Guideline</w:t>
      </w:r>
    </w:p>
    <w:p w:rsidR="00000000" w:rsidDel="00000000" w:rsidP="00000000" w:rsidRDefault="00000000" w:rsidRPr="00000000" w14:paraId="00000176">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The estimated coefficients of meeting guideline are positive in both logit and probit models, which indicates that if the applicant meets the guideline, he/she will have a higher chance to get approval for loan application. At the same time, it is statistically significant as the p-value is less than 0.01. The odds ratio is 41.739, which indicates that when holding other factors constant, </w:t>
      </w:r>
      <w:r w:rsidDel="00000000" w:rsidR="00000000" w:rsidRPr="00000000">
        <w:rPr>
          <w:rFonts w:ascii="Times New Roman" w:cs="Times New Roman" w:eastAsia="Times New Roman" w:hAnsi="Times New Roman"/>
          <w:b w:val="0"/>
          <w:color w:val="2d3b45"/>
          <w:sz w:val="24"/>
          <w:szCs w:val="24"/>
          <w:highlight w:val="white"/>
          <w:rtl w:val="0"/>
        </w:rPr>
        <w:t xml:space="preserve">the estimated odds of approval is 41.739 times higher for the applicants who meet guideline than the</w:t>
      </w:r>
      <w:r w:rsidDel="00000000" w:rsidR="00000000" w:rsidRPr="00000000">
        <w:rPr>
          <w:rFonts w:ascii="Times New Roman" w:cs="Times New Roman" w:eastAsia="Times New Roman" w:hAnsi="Times New Roman"/>
          <w:b w:val="0"/>
          <w:color w:val="2d3b45"/>
          <w:sz w:val="24"/>
          <w:szCs w:val="24"/>
          <w:highlight w:val="white"/>
          <w:rtl w:val="0"/>
        </w:rPr>
        <w:t xml:space="preserve"> other whose credit history barely meets guideline.</w:t>
      </w:r>
    </w:p>
    <w:p w:rsidR="00000000" w:rsidDel="00000000" w:rsidP="00000000" w:rsidRDefault="00000000" w:rsidRPr="00000000" w14:paraId="00000177">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4.1.3 Black</w:t>
      </w:r>
    </w:p>
    <w:p w:rsidR="00000000" w:rsidDel="00000000" w:rsidP="00000000" w:rsidRDefault="00000000" w:rsidRPr="00000000" w14:paraId="00000178">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The estimated coefficient of Black is negative in both logit and probit models. It indicates that when holding other factors constant, the Black applicant will have a lower chance to get loan approval than the White applicant. It is statistically significant because the p-value is less than 0.01. The odds ratio in the logit model is 0.447. It could be interpreted as when holding other factors constant, the estimated odds of approval is 0.553 times lower for the Black applicant than the White applicant.</w:t>
      </w:r>
    </w:p>
    <w:p w:rsidR="00000000" w:rsidDel="00000000" w:rsidP="00000000" w:rsidRDefault="00000000" w:rsidRPr="00000000" w14:paraId="00000179">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4.1.4 Hispan</w:t>
      </w:r>
    </w:p>
    <w:p w:rsidR="00000000" w:rsidDel="00000000" w:rsidP="00000000" w:rsidRDefault="00000000" w:rsidRPr="00000000" w14:paraId="0000017A">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Similar to the result of Black, the estimated coefficient of Hispan variable is negative in both logit and probit models. It indicates that when holding other factors constant, the Hispanic applicant will have a lower chance to get loan approval than the White applicant. It is statistically significant because the p-value is less than 0.01. The odds ratio in the logit model is 0.410. It could be interpreted as when holding other factors constant, the estimated odds of approval is 0.590 times lower for the Hispanic applicant than the White applicant.</w:t>
      </w:r>
    </w:p>
    <w:p w:rsidR="00000000" w:rsidDel="00000000" w:rsidP="00000000" w:rsidRDefault="00000000" w:rsidRPr="00000000" w14:paraId="0000017B">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4.1.5 Other Obligations</w:t>
      </w:r>
    </w:p>
    <w:p w:rsidR="00000000" w:rsidDel="00000000" w:rsidP="00000000" w:rsidRDefault="00000000" w:rsidRPr="00000000" w14:paraId="0000017C">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The estimated coefficients of other obligations are negative in both models, which indicates that if the applicant has higher percent of other obligations out of total income, the chance of loan approval will decrease. It is statistically significant as p-value is less than 0.01. When holding other factors constant, the odds ratio of getting loan approval changes by a factor of 0.967 for each additional percentage point of other obligations in the total income.</w:t>
      </w:r>
    </w:p>
    <w:p w:rsidR="00000000" w:rsidDel="00000000" w:rsidP="00000000" w:rsidRDefault="00000000" w:rsidRPr="00000000" w14:paraId="0000017D">
      <w:pPr>
        <w:spacing w:after="180" w:before="18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4.1.6 Loan/Purchase</w:t>
      </w:r>
    </w:p>
    <w:p w:rsidR="00000000" w:rsidDel="00000000" w:rsidP="00000000" w:rsidRDefault="00000000" w:rsidRPr="00000000" w14:paraId="0000017E">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The estimated coefficients of loan/purchase are negative in both logit and probit models. It indicates that if the applicant has a higher amount of loan and lower purchased assets, the chance for him/her to get loan approval will decrease. It is statistically significant only for the White because the p-value is less than 0.01. When holding other factors constant, the odds ratio of getting loan approval changes by a factor of 0.183 for each additional one hundred percentage  points of loan amount / purchased price.</w:t>
      </w:r>
    </w:p>
    <w:p w:rsidR="00000000" w:rsidDel="00000000" w:rsidP="00000000" w:rsidRDefault="00000000" w:rsidRPr="00000000" w14:paraId="0000017F">
      <w:pPr>
        <w:spacing w:after="180" w:before="180" w:line="48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4.2 Predicted Probabilities of Loan Approval for Both Models</w:t>
      </w:r>
      <w:r w:rsidDel="00000000" w:rsidR="00000000" w:rsidRPr="00000000">
        <w:rPr>
          <w:rtl w:val="0"/>
        </w:rPr>
      </w:r>
    </w:p>
    <w:p w:rsidR="00000000" w:rsidDel="00000000" w:rsidP="00000000" w:rsidRDefault="00000000" w:rsidRPr="00000000" w14:paraId="00000180">
      <w:pPr>
        <w:spacing w:after="0" w:before="180" w:line="480" w:lineRule="auto"/>
        <w:rPr>
          <w:rFonts w:ascii="Times New Roman" w:cs="Times New Roman" w:eastAsia="Times New Roman" w:hAnsi="Times New Roman"/>
          <w:i w:val="1"/>
          <w:color w:val="2d3b45"/>
          <w:sz w:val="20"/>
          <w:szCs w:val="20"/>
          <w:highlight w:val="white"/>
        </w:rPr>
      </w:pPr>
      <w:r w:rsidDel="00000000" w:rsidR="00000000" w:rsidRPr="00000000">
        <w:rPr>
          <w:rFonts w:ascii="Times New Roman" w:cs="Times New Roman" w:eastAsia="Times New Roman" w:hAnsi="Times New Roman"/>
          <w:i w:val="1"/>
          <w:color w:val="2d3b45"/>
          <w:sz w:val="20"/>
          <w:szCs w:val="20"/>
          <w:highlight w:val="white"/>
          <w:rtl w:val="0"/>
        </w:rPr>
        <w:t xml:space="preserve">Table 4.2 Predicted Probabilities (%) for Applicant Approval with Mean Loan to Value and Other Obligations</w:t>
      </w:r>
    </w:p>
    <w:tbl>
      <w:tblPr>
        <w:tblStyle w:val="Table7"/>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200"/>
        <w:gridCol w:w="1470"/>
        <w:gridCol w:w="1740"/>
        <w:gridCol w:w="1605"/>
        <w:gridCol w:w="1605"/>
        <w:tblGridChange w:id="0">
          <w:tblGrid>
            <w:gridCol w:w="1515"/>
            <w:gridCol w:w="1200"/>
            <w:gridCol w:w="1470"/>
            <w:gridCol w:w="1740"/>
            <w:gridCol w:w="1605"/>
            <w:gridCol w:w="1605"/>
          </w:tblGrid>
        </w:tblGridChange>
      </w:tblGrid>
      <w:tr>
        <w:trPr>
          <w:trHeight w:val="480" w:hRule="atLeast"/>
        </w:trPr>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color w:val="2d3b45"/>
                <w:highlight w:val="white"/>
              </w:rPr>
            </w:pPr>
            <w:r w:rsidDel="00000000" w:rsidR="00000000" w:rsidRPr="00000000">
              <w:rPr>
                <w:rtl w:val="0"/>
              </w:rPr>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gridSpan w:val="2"/>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Married</w:t>
            </w:r>
          </w:p>
        </w:tc>
        <w:tc>
          <w:tcPr>
            <w:gridSpan w:val="2"/>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180"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Unmarried</w:t>
            </w:r>
          </w:p>
        </w:tc>
      </w:tr>
      <w:tr>
        <w:trPr>
          <w:trHeight w:val="540" w:hRule="atLeast"/>
        </w:trPr>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180" w:line="240" w:lineRule="auto"/>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 </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Logit Models</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0"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Probit Models</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0"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Logit Models</w:t>
            </w:r>
          </w:p>
        </w:tc>
        <w:tc>
          <w:tcPr>
            <w:tcBorders>
              <w:top w:color="000000" w:space="0" w:sz="0" w:val="nil"/>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Probit Models</w:t>
            </w:r>
          </w:p>
        </w:tc>
      </w:tr>
      <w:tr>
        <w:trPr>
          <w:trHeight w:val="5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18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w:t>
            </w:r>
          </w:p>
          <w:p w:rsidR="00000000" w:rsidDel="00000000" w:rsidP="00000000" w:rsidRDefault="00000000" w:rsidRPr="00000000" w14:paraId="0000018E">
            <w:pPr>
              <w:spacing w:before="18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Meeting Guideline</w:t>
            </w:r>
          </w:p>
          <w:p w:rsidR="00000000" w:rsidDel="00000000" w:rsidP="00000000" w:rsidRDefault="00000000" w:rsidRPr="00000000" w14:paraId="0000018F">
            <w:pPr>
              <w:spacing w:before="18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White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95.84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95.91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93.57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93.49</w:t>
            </w:r>
          </w:p>
        </w:tc>
      </w:tr>
      <w:tr>
        <w:trPr>
          <w:trHeight w:val="54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180" w:before="180" w:line="480" w:lineRule="auto"/>
              <w:rPr>
                <w:rFonts w:ascii="Times New Roman" w:cs="Times New Roman" w:eastAsia="Times New Roman" w:hAnsi="Times New Roman"/>
                <w:b w:val="0"/>
                <w:color w:val="2d3b45"/>
                <w:highlight w:val="white"/>
              </w:rPr>
            </w:pPr>
            <w:r w:rsidDel="00000000" w:rsidR="00000000" w:rsidRPr="00000000">
              <w:rPr>
                <w:rtl w:val="0"/>
              </w:rPr>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Black</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91.15</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90.69</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86.70</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86.33</w:t>
            </w:r>
          </w:p>
        </w:tc>
      </w:tr>
      <w:tr>
        <w:trPr>
          <w:trHeight w:val="56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180" w:before="180" w:line="480" w:lineRule="auto"/>
              <w:rPr>
                <w:rFonts w:ascii="Times New Roman" w:cs="Times New Roman" w:eastAsia="Times New Roman" w:hAnsi="Times New Roman"/>
                <w:b w:val="0"/>
                <w:color w:val="2d3b45"/>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Hispanic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90.42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90.03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85.66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85.46</w:t>
            </w:r>
          </w:p>
        </w:tc>
      </w:tr>
      <w:tr>
        <w:trPr>
          <w:trHeight w:val="540" w:hRule="atLeast"/>
        </w:trPr>
        <w:tc>
          <w:tcPr>
            <w:vMerge w:val="restart"/>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18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Not Meeting Guideline</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White</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35.54</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34.13</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25.87</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26.25</w:t>
            </w:r>
          </w:p>
        </w:tc>
      </w:tr>
      <w:tr>
        <w:trPr>
          <w:trHeight w:val="560" w:hRule="atLeast"/>
        </w:trPr>
        <w:tc>
          <w:tcPr>
            <w:vMerge w:val="continue"/>
            <w:tcBorders>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80" w:before="180" w:line="480" w:lineRule="auto"/>
              <w:rPr>
                <w:rFonts w:ascii="Times New Roman" w:cs="Times New Roman" w:eastAsia="Times New Roman" w:hAnsi="Times New Roman"/>
                <w:b w:val="0"/>
                <w:color w:val="2d3b45"/>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19.79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20.41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13.50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14.60</w:t>
            </w:r>
          </w:p>
        </w:tc>
      </w:tr>
      <w:tr>
        <w:trPr>
          <w:trHeight w:val="540" w:hRule="atLeast"/>
        </w:trPr>
        <w:tc>
          <w:tcPr>
            <w:vMerge w:val="continue"/>
            <w:tcBorders>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80" w:before="180" w:line="480" w:lineRule="auto"/>
              <w:rPr>
                <w:rFonts w:ascii="Times New Roman" w:cs="Times New Roman" w:eastAsia="Times New Roman" w:hAnsi="Times New Roman"/>
                <w:b w:val="0"/>
                <w:color w:val="2d3b45"/>
                <w:highlight w:val="white"/>
              </w:rPr>
            </w:pPr>
            <w:r w:rsidDel="00000000" w:rsidR="00000000" w:rsidRPr="00000000">
              <w:rPr>
                <w:rtl w:val="0"/>
              </w:rPr>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180"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Hispanic</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18.45</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19.33</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12.52</w:t>
            </w:r>
          </w:p>
        </w:tc>
        <w:tc>
          <w:tcPr>
            <w:tcBorders>
              <w:top w:color="7f7f7f" w:space="0" w:sz="8" w:val="single"/>
              <w:left w:color="000000" w:space="0" w:sz="0" w:val="nil"/>
              <w:bottom w:color="7f7f7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180" w:line="240" w:lineRule="auto"/>
              <w:jc w:val="center"/>
              <w:rPr>
                <w:rFonts w:ascii="Times New Roman" w:cs="Times New Roman" w:eastAsia="Times New Roman" w:hAnsi="Times New Roman"/>
                <w:b w:val="0"/>
                <w:color w:val="2d3b45"/>
                <w:highlight w:val="white"/>
              </w:rPr>
            </w:pPr>
            <w:r w:rsidDel="00000000" w:rsidR="00000000" w:rsidRPr="00000000">
              <w:rPr>
                <w:rFonts w:ascii="Times New Roman" w:cs="Times New Roman" w:eastAsia="Times New Roman" w:hAnsi="Times New Roman"/>
                <w:b w:val="0"/>
                <w:color w:val="2d3b45"/>
                <w:highlight w:val="white"/>
                <w:rtl w:val="0"/>
              </w:rPr>
              <w:t xml:space="preserve">13.73</w:t>
            </w:r>
          </w:p>
        </w:tc>
      </w:tr>
    </w:tbl>
    <w:p w:rsidR="00000000" w:rsidDel="00000000" w:rsidP="00000000" w:rsidRDefault="00000000" w:rsidRPr="00000000" w14:paraId="000001B3">
      <w:pPr>
        <w:spacing w:line="48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B4">
      <w:pPr>
        <w:spacing w:after="180" w:before="180" w:line="480" w:lineRule="auto"/>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Table 4.2 presents the predicted probabilities of loan approval for a few prototypical individuals by logit and probit models. We divided to individuals into 12 categories, who respectively are “Married White applicant meets guideline”, “Unmarried White applicant meets guideline”, “Married White applicant does not meet guideline”, “Unmarried White applicant does not meet guideline”, “Married Black applicant meets guideline”, “Unmarried Black applicant meets guideline”, “Married Black applicant does not meet guideline”, “Unmarried Black applicant does not meet guideline”, “Married Hispanic applicant meets guideline”, “Unmarried Hispanic applicant meets guideline”, “Married Hispanic applicant does not meet guideline”, “Unmarried Hispanic applicant does not meet guideline”.</w:t>
      </w:r>
    </w:p>
    <w:p w:rsidR="00000000" w:rsidDel="00000000" w:rsidP="00000000" w:rsidRDefault="00000000" w:rsidRPr="00000000" w14:paraId="000001B5">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From the result, the predicted probabilities by logit and probit models are similar for each category. The differences in predicted probabilities between two model are small. When comparing the married individuals who meets guideline by different races, we could find that among the married applicants who meet guideline, the probability of White applicants (96.11%, 96.09%) is higher than the Black(91.15%, 90.69%) and the Hispanic (90.42%, 90.03%) respectively by logit model and probit model. When comparing the unmarried individuals who meet guideline among the races, we find that the probability for While applicant (93.57%, 93.49%) is also higher than the Black(86.70%, 86.33%) and the Hispanic(85.66%, 85.46%) by logit model and probit model respectively.</w:t>
      </w:r>
    </w:p>
    <w:p w:rsidR="00000000" w:rsidDel="00000000" w:rsidP="00000000" w:rsidRDefault="00000000" w:rsidRPr="00000000" w14:paraId="000001B6">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When we compare the probability of approval for married applicant who does not meet guideline among races, it is clear that the White applicants (35.54%, 34.13%) have higher approval probabilities than the Black (19.79%, 20.41%) and Hispanic applicants (18.45%, 19.33%). While comparing the probability of approval for unmarried applicant who does not meet guideline among races, the White applicant (25.87%, 26.25%) has an higher probability of approval than the Black (13.50%, 14.60%) and the Hispanic (12.52%, 13.73%) by logit model and probit model respectively. </w:t>
      </w:r>
    </w:p>
    <w:p w:rsidR="00000000" w:rsidDel="00000000" w:rsidP="00000000" w:rsidRDefault="00000000" w:rsidRPr="00000000" w14:paraId="000001B7">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In general, when comparing the same category, the White applicants always have higher probabilities of approval than the Black and Hispanic applicants.</w:t>
      </w:r>
    </w:p>
    <w:p w:rsidR="00000000" w:rsidDel="00000000" w:rsidP="00000000" w:rsidRDefault="00000000" w:rsidRPr="00000000" w14:paraId="000001B8">
      <w:pPr>
        <w:spacing w:after="0" w:before="0"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4.3 Robustness</w:t>
      </w:r>
    </w:p>
    <w:p w:rsidR="00000000" w:rsidDel="00000000" w:rsidP="00000000" w:rsidRDefault="00000000" w:rsidRPr="00000000" w14:paraId="000001B9">
      <w:pPr>
        <w:spacing w:after="0" w:before="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Comparing the result of the logit and probit models, for each variable, the sign of coefficients are similar between two models. At the same time, all the results from both models are statistically significant. Also, the predicted probabilities by the logit model are similar to the predicted probabilities by probit model. So we believe the results of models are robust.</w:t>
      </w:r>
    </w:p>
    <w:p w:rsidR="00000000" w:rsidDel="00000000" w:rsidP="00000000" w:rsidRDefault="00000000" w:rsidRPr="00000000" w14:paraId="000001BA">
      <w:pPr>
        <w:spacing w:after="0" w:before="0"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color w:val="2d3b45"/>
          <w:highlight w:val="white"/>
          <w:rtl w:val="0"/>
        </w:rPr>
        <w:t xml:space="preserve"> </w:t>
      </w:r>
      <w:r w:rsidDel="00000000" w:rsidR="00000000" w:rsidRPr="00000000">
        <w:rPr>
          <w:rFonts w:ascii="Times New Roman" w:cs="Times New Roman" w:eastAsia="Times New Roman" w:hAnsi="Times New Roman"/>
          <w:sz w:val="36"/>
          <w:szCs w:val="36"/>
          <w:rtl w:val="0"/>
        </w:rPr>
        <w:t xml:space="preserve">5. CONCLUSION</w:t>
      </w:r>
    </w:p>
    <w:p w:rsidR="00000000" w:rsidDel="00000000" w:rsidP="00000000" w:rsidRDefault="00000000" w:rsidRPr="00000000" w14:paraId="000001BB">
      <w:pPr>
        <w:spacing w:after="0" w:before="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Through the results from robust models, we find that the predicted probabilities seem to be higher for the White applicants than the Black and Hispanic applicants in the same condition when holding other factors constant. For the married applicants, the difference among the predicted probabilities is not big, but the unmarried applicant whose credit history does not meet guideline, </w:t>
      </w:r>
      <w:r w:rsidDel="00000000" w:rsidR="00000000" w:rsidRPr="00000000">
        <w:rPr>
          <w:rFonts w:ascii="Times New Roman" w:cs="Times New Roman" w:eastAsia="Times New Roman" w:hAnsi="Times New Roman"/>
          <w:b w:val="0"/>
          <w:color w:val="2d3b45"/>
          <w:sz w:val="24"/>
          <w:szCs w:val="24"/>
          <w:highlight w:val="white"/>
          <w:rtl w:val="0"/>
        </w:rPr>
        <w:t xml:space="preserve">the probabilities of the White applicant to get loan approval is almost twice more than the Hispanic applicants</w:t>
      </w:r>
      <w:r w:rsidDel="00000000" w:rsidR="00000000" w:rsidRPr="00000000">
        <w:rPr>
          <w:rFonts w:ascii="Times New Roman" w:cs="Times New Roman" w:eastAsia="Times New Roman" w:hAnsi="Times New Roman"/>
          <w:b w:val="0"/>
          <w:color w:val="2d3b45"/>
          <w:sz w:val="24"/>
          <w:szCs w:val="24"/>
          <w:highlight w:val="white"/>
          <w:rtl w:val="0"/>
        </w:rPr>
        <w:t xml:space="preserve">. However, we still cannot conclude that mortgage lending institutions discriminate against minorities. The reason is we are not holding some confounding factors when we interpret the relationship between dependent and independent variables. For example, educational attainment and the type of jobs would affect getting loan approval or not. Also, the market value and type of mortgage may also affect the decision of getting loan approval or not. Therefore, before we could take all the variables into consideration and minimize the omitted bias, we cannot say the mortgage lending institutions discriminate against minorities.</w:t>
      </w:r>
    </w:p>
    <w:p w:rsidR="00000000" w:rsidDel="00000000" w:rsidP="00000000" w:rsidRDefault="00000000" w:rsidRPr="00000000" w14:paraId="000001BC">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Disable to control all the relative variables is the limitation of this research. If possible, we would like to take more variable as independent variables into both models, such as educational attainment, type of job and the mortgage evaluation for each applicant to avoid violating the omitted bias.</w:t>
      </w:r>
    </w:p>
    <w:p w:rsidR="00000000" w:rsidDel="00000000" w:rsidP="00000000" w:rsidRDefault="00000000" w:rsidRPr="00000000" w14:paraId="000001BD">
      <w:pPr>
        <w:spacing w:after="180" w:before="180" w:line="480" w:lineRule="auto"/>
        <w:ind w:firstLine="720"/>
        <w:jc w:val="both"/>
        <w:rPr>
          <w:rFonts w:ascii="Times New Roman" w:cs="Times New Roman" w:eastAsia="Times New Roman" w:hAnsi="Times New Roman"/>
          <w:b w:val="0"/>
          <w:color w:val="2d3b45"/>
          <w:sz w:val="24"/>
          <w:szCs w:val="24"/>
          <w:highlight w:val="white"/>
        </w:rPr>
      </w:pPr>
      <w:r w:rsidDel="00000000" w:rsidR="00000000" w:rsidRPr="00000000">
        <w:rPr>
          <w:rFonts w:ascii="Times New Roman" w:cs="Times New Roman" w:eastAsia="Times New Roman" w:hAnsi="Times New Roman"/>
          <w:b w:val="0"/>
          <w:color w:val="2d3b45"/>
          <w:sz w:val="24"/>
          <w:szCs w:val="24"/>
          <w:highlight w:val="white"/>
          <w:rtl w:val="0"/>
        </w:rPr>
        <w:t xml:space="preserve">We cooperate together to work on this research. Sourabh and Huy contribute to the introduction, model, and data, while Han works on the interpretation and conclusion.</w:t>
      </w:r>
    </w:p>
    <w:p w:rsidR="00000000" w:rsidDel="00000000" w:rsidP="00000000" w:rsidRDefault="00000000" w:rsidRPr="00000000" w14:paraId="000001BE">
      <w:pP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1BF">
      <w:pPr>
        <w:spacing w:line="48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tabs>
        <w:tab w:val="center" w:pos="4680"/>
        <w:tab w:val="left" w:pos="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5300  </w:t>
      <w:tab/>
      <w:tab/>
      <w:t xml:space="preserve">Seattle University</w:t>
    </w:r>
  </w:p>
  <w:p w:rsidR="00000000" w:rsidDel="00000000" w:rsidP="00000000" w:rsidRDefault="00000000" w:rsidRPr="00000000" w14:paraId="000001C1">
    <w:pPr>
      <w:tabs>
        <w:tab w:val="center" w:pos="4680"/>
        <w:tab w:val="left" w:pos="0"/>
        <w:tab w:val="right" w:pos="9360"/>
      </w:tabs>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
      </w:rPr>
    </w:rPrDefault>
    <w:pPrDefault>
      <w:pPr>
        <w:tabs>
          <w:tab w:val="center" w:pos="4680"/>
          <w:tab w:val="left" w:pos="0"/>
          <w:tab w:val="right" w:pos="936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