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B365D"/>
          <w:sz w:val="40"/>
        </w:rPr>
        <w:t>THESIS REGISTRATION FORM</w:t>
      </w:r>
    </w:p>
    <w:p>
      <w:pPr>
        <w:spacing w:after="280"/>
      </w:pPr>
      <w:r>
        <w:rPr>
          <w:i/>
          <w:color w:val="505050"/>
          <w:sz w:val="19"/>
        </w:rPr>
        <w:t>INSTRUCTIONS:</w:t>
        <w:br/>
        <w:t>• Student: Please fill your Name and ID on the form and discuss with your Thesis Advisor to fill the other contents. Afterward, sign the form to verify your agreement and return the form to the Undergraduate Academic Assistant of the Department.</w:t>
        <w:br/>
        <w:t>• Thesis Supervisor: Please authorize the Thesis Registration Form for this student by signing below.</w:t>
      </w:r>
    </w:p>
    <w:tbl>
      <w:tblPr>
        <w:tblW w:type="auto" w:w="0"/>
        <w:jc w:val="center"/>
        <w:tblLayout w:type="fixed"/>
        <w:tblLook w:firstColumn="1" w:firstRow="1" w:lastColumn="0" w:lastRow="0" w:noHBand="0" w:noVBand="1" w:val="04A0"/>
      </w:tblPr>
      <w:tblGrid>
        <w:gridCol w:w="4680"/>
        <w:gridCol w:w="4680"/>
      </w:tblGrid>
      <w:tr>
        <w:tc>
          <w:tcPr>
            <w:tcW w:type="dxa" w:w="2880"/>
            <w:shd w:fill="F4F6F9"/>
            <w:tcMar>
              <w:top w:w="100" w:type="dxa"/>
              <w:bottom w:w="100" w:type="dxa"/>
              <w:left w:w="150" w:type="dxa"/>
              <w:right w:w="150" w:type="dxa"/>
            </w:tcMar>
          </w:tcPr>
          <w:p>
            <w:pPr>
              <w:spacing w:after="0"/>
            </w:pPr>
            <w:r>
              <w:rPr>
                <w:b/>
                <w:color w:val="1B365D"/>
              </w:rPr>
              <w:t>Student's Name:</w:t>
            </w:r>
          </w:p>
        </w:tc>
        <w:tc>
          <w:tcPr>
            <w:tcW w:type="dxa" w:w="6480"/>
            <w:tcMar>
              <w:top w:w="100" w:type="dxa"/>
              <w:bottom w:w="100" w:type="dxa"/>
              <w:left w:w="150" w:type="dxa"/>
              <w:right w:w="150" w:type="dxa"/>
            </w:tcMar>
          </w:tcPr>
          <w:p>
            <w:pPr>
              <w:spacing w:after="0"/>
            </w:pPr>
            <w:r>
              <w:rPr>
                <w:i/>
                <w:color w:val="787878"/>
              </w:rPr>
              <w:t>[Fill Student Name]</w:t>
            </w:r>
          </w:p>
        </w:tc>
      </w:tr>
      <w:tr>
        <w:tc>
          <w:tcPr>
            <w:tcW w:type="dxa" w:w="2880"/>
            <w:shd w:fill="F4F6F9"/>
            <w:tcMar>
              <w:top w:w="100" w:type="dxa"/>
              <w:bottom w:w="100" w:type="dxa"/>
              <w:left w:w="150" w:type="dxa"/>
              <w:right w:w="150" w:type="dxa"/>
            </w:tcMar>
          </w:tcPr>
          <w:p>
            <w:pPr>
              <w:spacing w:after="0"/>
            </w:pPr>
            <w:r>
              <w:rPr>
                <w:b/>
                <w:color w:val="1B365D"/>
              </w:rPr>
              <w:t>Student ID:</w:t>
            </w:r>
          </w:p>
        </w:tc>
        <w:tc>
          <w:tcPr>
            <w:tcW w:type="dxa" w:w="6480"/>
            <w:tcMar>
              <w:top w:w="100" w:type="dxa"/>
              <w:bottom w:w="100" w:type="dxa"/>
              <w:left w:w="150" w:type="dxa"/>
              <w:right w:w="150" w:type="dxa"/>
            </w:tcMar>
          </w:tcPr>
          <w:p>
            <w:pPr>
              <w:spacing w:after="0"/>
            </w:pPr>
            <w:r>
              <w:rPr>
                <w:i/>
                <w:color w:val="787878"/>
              </w:rPr>
              <w:t>[Fill Student ID]</w:t>
            </w:r>
          </w:p>
        </w:tc>
      </w:tr>
      <w:tr>
        <w:tc>
          <w:tcPr>
            <w:tcW w:type="dxa" w:w="2880"/>
            <w:shd w:fill="F4F6F9"/>
            <w:tcMar>
              <w:top w:w="100" w:type="dxa"/>
              <w:bottom w:w="100" w:type="dxa"/>
              <w:left w:w="150" w:type="dxa"/>
              <w:right w:w="150" w:type="dxa"/>
            </w:tcMar>
          </w:tcPr>
          <w:p>
            <w:pPr>
              <w:spacing w:after="0"/>
            </w:pPr>
            <w:r>
              <w:rPr>
                <w:b/>
                <w:color w:val="1B365D"/>
              </w:rPr>
              <w:t>Email:</w:t>
            </w:r>
          </w:p>
        </w:tc>
        <w:tc>
          <w:tcPr>
            <w:tcW w:type="dxa" w:w="6480"/>
            <w:tcMar>
              <w:top w:w="100" w:type="dxa"/>
              <w:bottom w:w="100" w:type="dxa"/>
              <w:left w:w="150" w:type="dxa"/>
              <w:right w:w="150" w:type="dxa"/>
            </w:tcMar>
          </w:tcPr>
          <w:p>
            <w:pPr>
              <w:spacing w:after="0"/>
            </w:pPr>
            <w:r>
              <w:rPr>
                <w:i/>
                <w:color w:val="787878"/>
              </w:rPr>
              <w:t>[Fill Email Address]</w:t>
            </w:r>
          </w:p>
        </w:tc>
      </w:tr>
      <w:tr>
        <w:tc>
          <w:tcPr>
            <w:tcW w:type="dxa" w:w="2880"/>
            <w:shd w:fill="F4F6F9"/>
            <w:tcMar>
              <w:top w:w="100" w:type="dxa"/>
              <w:bottom w:w="100" w:type="dxa"/>
              <w:left w:w="150" w:type="dxa"/>
              <w:right w:w="150" w:type="dxa"/>
            </w:tcMar>
          </w:tcPr>
          <w:p>
            <w:pPr>
              <w:spacing w:after="0"/>
            </w:pPr>
            <w:r>
              <w:rPr>
                <w:b/>
                <w:color w:val="1B365D"/>
              </w:rPr>
              <w:t>Phone:</w:t>
            </w:r>
          </w:p>
        </w:tc>
        <w:tc>
          <w:tcPr>
            <w:tcW w:type="dxa" w:w="6480"/>
            <w:tcMar>
              <w:top w:w="100" w:type="dxa"/>
              <w:bottom w:w="100" w:type="dxa"/>
              <w:left w:w="150" w:type="dxa"/>
              <w:right w:w="150" w:type="dxa"/>
            </w:tcMar>
          </w:tcPr>
          <w:p>
            <w:pPr>
              <w:spacing w:after="0"/>
            </w:pPr>
            <w:r>
              <w:rPr>
                <w:i/>
                <w:color w:val="787878"/>
              </w:rPr>
              <w:t>[Fill Phone Number]</w:t>
            </w:r>
          </w:p>
        </w:tc>
      </w:tr>
      <w:tr>
        <w:tc>
          <w:tcPr>
            <w:tcW w:type="dxa" w:w="2880"/>
            <w:shd w:fill="F4F6F9"/>
            <w:tcMar>
              <w:top w:w="100" w:type="dxa"/>
              <w:bottom w:w="100" w:type="dxa"/>
              <w:left w:w="150" w:type="dxa"/>
              <w:right w:w="150" w:type="dxa"/>
            </w:tcMar>
          </w:tcPr>
          <w:p>
            <w:pPr>
              <w:spacing w:after="0"/>
            </w:pPr>
            <w:r>
              <w:rPr>
                <w:b/>
                <w:color w:val="1B365D"/>
              </w:rPr>
              <w:t>Major:</w:t>
            </w:r>
          </w:p>
        </w:tc>
        <w:tc>
          <w:tcPr>
            <w:tcW w:type="dxa" w:w="6480"/>
            <w:tcMar>
              <w:top w:w="100" w:type="dxa"/>
              <w:bottom w:w="100" w:type="dxa"/>
              <w:left w:w="150" w:type="dxa"/>
              <w:right w:w="150" w:type="dxa"/>
            </w:tcMar>
          </w:tcPr>
          <w:p>
            <w:pPr>
              <w:spacing w:after="0"/>
            </w:pPr>
            <w:r>
              <w:t>Computer Science / Software Engineering</w:t>
            </w:r>
          </w:p>
        </w:tc>
      </w:tr>
    </w:tbl>
    <w:p>
      <w:pPr>
        <w:spacing w:after="160"/>
      </w:pPr>
    </w:p>
    <w:p>
      <w:pPr>
        <w:spacing w:before="280" w:after="80"/>
      </w:pPr>
      <w:r>
        <w:rPr>
          <w:b/>
          <w:color w:val="1B365D"/>
          <w:sz w:val="26"/>
        </w:rPr>
        <w:t>THESIS TITLE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0"/>
            </w:pPr>
            <w:r>
              <w:rPr>
                <w:b/>
                <w:color w:val="1B365D"/>
                <w:sz w:val="23"/>
              </w:rPr>
              <w:t>CogniTrace: An Intelligent AI Tutoring System for Programming Pedagogy via State-Grounded LLMs, Animated Memory Graphs, and Time-Travel Execution Forking</w:t>
            </w:r>
          </w:p>
        </w:tc>
      </w:tr>
    </w:tbl>
    <w:p>
      <w:pPr>
        <w:spacing w:before="280" w:after="80"/>
      </w:pPr>
      <w:r>
        <w:rPr>
          <w:b/>
          <w:color w:val="1B365D"/>
          <w:sz w:val="26"/>
        </w:rPr>
        <w:t>THESIS GOALS AND OBJECTIVES</w:t>
      </w:r>
    </w:p>
    <w:p>
      <w:pPr>
        <w:spacing w:after="80"/>
      </w:pPr>
      <w:r>
        <w:rPr>
          <w:sz w:val="21"/>
        </w:rPr>
        <w:t>The primary objective of this thesis is to design, implement, and evaluate CogniTrace—an Intelligent AI Tutoring System for computer science learners that transforms passive code execution visualization into an active, interactive, and personalized learning experience. Specific goals include:</w:t>
      </w:r>
    </w:p>
    <w:p>
      <w:pPr>
        <w:pStyle w:val="ListBullet"/>
        <w:spacing w:after="60" w:before="0"/>
      </w:pPr>
      <w:r>
        <w:rPr>
          <w:b/>
          <w:color w:val="1B365D"/>
        </w:rPr>
        <w:t xml:space="preserve">Active Execution Prediction Engine: </w:t>
      </w:r>
      <w:r>
        <w:rPr>
          <w:sz w:val="20"/>
        </w:rPr>
        <w:t>Develop a real-time execution interception pipeline using Python's sys.settrace() that pauses execution at critical control-flow points, prompting learners to predict variable states before revealing answers.</w:t>
      </w:r>
    </w:p>
    <w:p>
      <w:pPr>
        <w:pStyle w:val="ListBullet"/>
        <w:spacing w:after="60" w:before="0"/>
      </w:pPr>
      <w:r>
        <w:rPr>
          <w:b/>
          <w:color w:val="1B365D"/>
        </w:rPr>
        <w:t xml:space="preserve">Dynamic Memory Heap Graph: </w:t>
      </w:r>
      <w:r>
        <w:rPr>
          <w:sz w:val="20"/>
        </w:rPr>
        <w:t>Render interactive, animated node-link visualizations of Python object memory addresses (id()), reference aliasing, and pointer mutations in real time to resolve fundamental mental model bottlenecks in programming education.</w:t>
      </w:r>
    </w:p>
    <w:p>
      <w:pPr>
        <w:pStyle w:val="ListBullet"/>
        <w:spacing w:after="60" w:before="0"/>
      </w:pPr>
      <w:r>
        <w:rPr>
          <w:b/>
          <w:color w:val="1B365D"/>
        </w:rPr>
        <w:t xml:space="preserve">Parallel Time-Travel State Forking: </w:t>
      </w:r>
      <w:r>
        <w:rPr>
          <w:sz w:val="20"/>
        </w:rPr>
        <w:t>Implement a video-style timeline scrubber enabling students to navigate backwards across execution history, modify memory variable values mid-trace, and execute parallel 'What-If' execution timelines.</w:t>
      </w:r>
    </w:p>
    <w:p>
      <w:pPr>
        <w:pStyle w:val="ListBullet"/>
        <w:spacing w:after="60" w:before="0"/>
      </w:pPr>
      <w:r>
        <w:rPr>
          <w:b/>
          <w:color w:val="1B365D"/>
        </w:rPr>
        <w:t xml:space="preserve">State-Grounded Socratic AI Guidance: </w:t>
      </w:r>
      <w:r>
        <w:rPr>
          <w:sz w:val="20"/>
        </w:rPr>
        <w:t>Integrate a dual-LLM reasoning engine (Ollama/OpenAI) that generates grounded, line-level explanations and 3-tier Socratic hint ladders based on live runtime telemetry rather than static code descriptions.</w:t>
      </w:r>
    </w:p>
    <w:p>
      <w:pPr>
        <w:pStyle w:val="ListBullet"/>
        <w:spacing w:after="60" w:before="0"/>
      </w:pPr>
      <w:r>
        <w:rPr>
          <w:b/>
          <w:color w:val="1B365D"/>
        </w:rPr>
        <w:t xml:space="preserve">Learner Misconception Knowledge Graph: </w:t>
      </w:r>
      <w:r>
        <w:rPr>
          <w:sz w:val="20"/>
        </w:rPr>
        <w:t>Construct an automated diagnostic heatmap that tracks learner prediction errors across specific conceptual categories (e.g., Scope Shadowing, Mutable Default Args, Type Coercion) to deliver adaptive, personalized learning support.</w:t>
      </w:r>
    </w:p>
    <w:p>
      <w:pPr>
        <w:spacing w:before="280" w:after="80"/>
      </w:pPr>
      <w:r>
        <w:rPr>
          <w:b/>
          <w:color w:val="1B365D"/>
          <w:sz w:val="26"/>
        </w:rPr>
        <w:t>REQUIREMENTS</w:t>
      </w:r>
    </w:p>
    <w:p>
      <w:pPr>
        <w:spacing w:after="80"/>
      </w:pPr>
      <w:r>
        <w:rPr>
          <w:sz w:val="21"/>
        </w:rPr>
        <w:t>The thesis project will fulfill the following technical, functional, and non-functional requirements:</w:t>
      </w:r>
    </w:p>
    <w:p>
      <w:pPr>
        <w:spacing w:before="80" w:after="40"/>
      </w:pPr>
      <w:r>
        <w:rPr>
          <w:b/>
          <w:color w:val="1B365D"/>
          <w:sz w:val="22"/>
        </w:rPr>
        <w:t>Functional Requirements</w:t>
      </w:r>
    </w:p>
    <w:p>
      <w:pPr>
        <w:pStyle w:val="ListBullet"/>
        <w:spacing w:after="40"/>
      </w:pPr>
      <w:r>
        <w:rPr>
          <w:b/>
          <w:sz w:val="20"/>
        </w:rPr>
        <w:t>Execution Telemetry Sandbox:</w:t>
      </w:r>
      <w:r>
        <w:t xml:space="preserve"> Pure computational sandbox blocking unapproved filesystem, network, and subprocess calls during Python trace execution.</w:t>
      </w:r>
    </w:p>
    <w:p>
      <w:pPr>
        <w:pStyle w:val="ListBullet"/>
        <w:spacing w:after="40"/>
      </w:pPr>
      <w:r>
        <w:rPr>
          <w:b/>
          <w:sz w:val="20"/>
        </w:rPr>
        <w:t>Interactive Memory Graph UI:</w:t>
      </w:r>
      <w:r>
        <w:t xml:space="preserve"> Front-end canvas rendering animated object nodes, reference pointer links, and garbage collection states.</w:t>
      </w:r>
    </w:p>
    <w:p>
      <w:pPr>
        <w:pStyle w:val="ListBullet"/>
        <w:spacing w:after="40"/>
      </w:pPr>
      <w:r>
        <w:rPr>
          <w:b/>
          <w:sz w:val="20"/>
        </w:rPr>
        <w:t>Timeline Scrubber &amp; State Editing:</w:t>
      </w:r>
      <w:r>
        <w:t xml:space="preserve"> Slider UI supporting step scrubbing, variable state mutation, and dual-trace side-by-side execution diffing.</w:t>
      </w:r>
    </w:p>
    <w:p>
      <w:pPr>
        <w:pStyle w:val="ListBullet"/>
        <w:spacing w:after="40"/>
      </w:pPr>
      <w:r>
        <w:rPr>
          <w:b/>
          <w:sz w:val="20"/>
        </w:rPr>
        <w:t>Socratic Hint Ladder:</w:t>
      </w:r>
      <w:r>
        <w:t xml:space="preserve"> 3-tier progressive guidance mode (Nudge -&gt; Clue -&gt; Complete Explanation) to mitigate AI-code over-reliance.</w:t>
      </w:r>
    </w:p>
    <w:p>
      <w:pPr>
        <w:pStyle w:val="ListBullet"/>
        <w:spacing w:after="40"/>
      </w:pPr>
      <w:r>
        <w:rPr>
          <w:b/>
          <w:sz w:val="20"/>
        </w:rPr>
        <w:t>Competency &amp; Retention Tracking:</w:t>
      </w:r>
      <w:r>
        <w:t xml:space="preserve"> Automated SQLite schema recording self-ratings and prediction error history for adaptive review scheduling.</w:t>
      </w:r>
    </w:p>
    <w:p>
      <w:pPr>
        <w:spacing w:before="80" w:after="40"/>
      </w:pPr>
      <w:r>
        <w:rPr>
          <w:b/>
          <w:color w:val="1B365D"/>
          <w:sz w:val="22"/>
        </w:rPr>
        <w:t>Non-Functional &amp; Technical Requirements</w:t>
      </w:r>
    </w:p>
    <w:p>
      <w:pPr>
        <w:pStyle w:val="ListBullet"/>
        <w:spacing w:after="40"/>
      </w:pPr>
      <w:r>
        <w:rPr>
          <w:b/>
          <w:sz w:val="20"/>
        </w:rPr>
        <w:t>Backend Architecture:</w:t>
      </w:r>
      <w:r>
        <w:t xml:space="preserve"> High-performance FastAPI server with Server-Sent Events (SSE) for streaming line-by-line trace telemetry and LLM explanations.</w:t>
      </w:r>
    </w:p>
    <w:p>
      <w:pPr>
        <w:pStyle w:val="ListBullet"/>
        <w:spacing w:after="40"/>
      </w:pPr>
      <w:r>
        <w:rPr>
          <w:b/>
          <w:sz w:val="20"/>
        </w:rPr>
        <w:t>Frontend Architecture:</w:t>
      </w:r>
      <w:r>
        <w:t xml:space="preserve"> React + Vite + TypeScript + Tailwind CSS design system with smooth micro-animations and zero ad-hoc styling.</w:t>
      </w:r>
    </w:p>
    <w:p>
      <w:pPr>
        <w:pStyle w:val="ListBullet"/>
        <w:spacing w:after="40"/>
      </w:pPr>
      <w:r>
        <w:rPr>
          <w:b/>
          <w:sz w:val="20"/>
        </w:rPr>
        <w:t>LLM Integration:</w:t>
      </w:r>
      <w:r>
        <w:t xml:space="preserve"> Hybrid routing via local Ollama Cloud / OpenAI API with fallback error handling.</w:t>
      </w:r>
    </w:p>
    <w:p>
      <w:pPr>
        <w:pStyle w:val="ListBullet"/>
        <w:spacing w:after="40"/>
      </w:pPr>
      <w:r>
        <w:rPr>
          <w:b/>
          <w:sz w:val="20"/>
        </w:rPr>
        <w:t>Execution Performance:</w:t>
      </w:r>
      <w:r>
        <w:t xml:space="preserve"> Trace overhead latency under 150ms per line step and instant visual graph re-renders.</w:t>
      </w:r>
    </w:p>
    <w:p>
      <w:pPr>
        <w:spacing w:after="320"/>
      </w:pPr>
    </w:p>
    <w:p>
      <w:pPr>
        <w:spacing w:before="280" w:after="80"/>
      </w:pPr>
      <w:r>
        <w:rPr>
          <w:b/>
          <w:color w:val="1B365D"/>
          <w:sz w:val="26"/>
        </w:rPr>
        <w:t>AUTHORIZATION AND SIGNATURES</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Pr>
          <w:p>
            <w:pPr>
              <w:spacing w:after="120"/>
            </w:pPr>
            <w:r>
              <w:rPr>
                <w:b/>
                <w:color w:val="1B365D"/>
                <w:sz w:val="21"/>
              </w:rPr>
              <w:t>Student Signature:</w:t>
            </w:r>
            <w:r>
              <w:br/>
              <w:br/>
              <w:t>_____________________________________</w:t>
              <w:br/>
            </w:r>
          </w:p>
        </w:tc>
        <w:tc>
          <w:tcPr>
            <w:tcW w:type="dxa" w:w="4680"/>
            <w:tcMar>
              <w:top w:w="100" w:type="dxa"/>
              <w:bottom w:w="100" w:type="dxa"/>
              <w:left w:w="100" w:type="dxa"/>
              <w:right w:w="100" w:type="dxa"/>
            </w:tcMar>
          </w:tcPr>
          <w:p>
            <w:pPr>
              <w:spacing w:after="120"/>
            </w:pPr>
            <w:r>
              <w:rPr>
                <w:b/>
                <w:color w:val="1B365D"/>
                <w:sz w:val="21"/>
              </w:rPr>
              <w:t>Thesis Supervisor Signature:</w:t>
            </w:r>
            <w:r>
              <w:br/>
              <w:br/>
              <w:t>_____________________________________</w:t>
              <w:br/>
            </w:r>
          </w:p>
        </w:tc>
      </w:tr>
      <w:tr>
        <w:tc>
          <w:tcPr>
            <w:tcW w:type="dxa" w:w="4680"/>
            <w:tcMar>
              <w:top w:w="100" w:type="dxa"/>
              <w:bottom w:w="100" w:type="dxa"/>
              <w:left w:w="100" w:type="dxa"/>
              <w:right w:w="100" w:type="dxa"/>
            </w:tcMar>
          </w:tcPr>
          <w:p>
            <w:pPr>
              <w:spacing w:after="120"/>
            </w:pPr>
            <w:r>
              <w:rPr>
                <w:sz w:val="21"/>
              </w:rPr>
              <w:t>Date: ________________________</w:t>
            </w:r>
          </w:p>
        </w:tc>
        <w:tc>
          <w:tcPr>
            <w:tcW w:type="dxa" w:w="4680"/>
            <w:tcMar>
              <w:top w:w="100" w:type="dxa"/>
              <w:bottom w:w="100" w:type="dxa"/>
              <w:left w:w="100" w:type="dxa"/>
              <w:right w:w="100" w:type="dxa"/>
            </w:tcMar>
          </w:tcPr>
          <w:p>
            <w:pPr>
              <w:spacing w:after="120"/>
            </w:pPr>
            <w:r>
              <w:rPr>
                <w:sz w:val="21"/>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