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23A63"/>
          <w:sz w:val="32"/>
        </w:rPr>
        <w:t>MẪU BÁO CÁO NGHIÊN CỨU CÁ NHÂN</w:t>
        <w:br/>
      </w:r>
      <w:r>
        <w:rPr>
          <w:rFonts w:ascii="Arial" w:hAnsi="Arial"/>
          <w:i/>
          <w:color w:val="1E4D78"/>
          <w:sz w:val="24"/>
        </w:rPr>
        <w:t>Đề tài: Tối ưu hóa bài toán xếp ca làm việc đa công ty, đa phòng ban, đa vị trí</w:t>
      </w:r>
    </w:p>
    <w:p>
      <w:pPr>
        <w:pStyle w:val="Heading1"/>
      </w:pPr>
      <w:r>
        <w:t>Hướng dẫn sử dụng</w:t>
      </w:r>
    </w:p>
    <w:p>
      <w:pPr>
        <w:pStyle w:val="ListParagraph"/>
      </w:pPr>
      <w:r>
        <w:rPr>
          <w:rFonts w:ascii="Arial" w:hAnsi="Arial"/>
          <w:color w:val="1E293B"/>
          <w:sz w:val="20"/>
        </w:rPr>
        <w:t>Mỗi thành viên (4 người) copy file này thành 1 bản riêng, đặt tên file theo tên mình (VD: BaoCao_CaNhan_TranQuocTri.docx), rồi điền vào đúng bản của mình.</w:t>
      </w:r>
    </w:p>
    <w:p>
      <w:pPr>
        <w:pStyle w:val="ListParagraph"/>
      </w:pPr>
      <w:r>
        <w:rPr>
          <w:rFonts w:ascii="Arial" w:hAnsi="Arial"/>
          <w:color w:val="1E293B"/>
          <w:sz w:val="20"/>
        </w:rPr>
        <w:t>Điền dần trong lúc code, KHÔNG đợi code xong 100% mới viết — đặc biệt mục 3 (Cơ sở lý thuyết) nên viết ngay khi vừa tìm hiểu xong thuật toán, mục 7 (Khó khăn) nên ghi ngay lúc gặp lỗi, tránh quên.</w:t>
      </w:r>
    </w:p>
    <w:p>
      <w:pPr>
        <w:pStyle w:val="ListParagraph"/>
      </w:pPr>
      <w:r>
        <w:rPr>
          <w:rFonts w:ascii="Arial" w:hAnsi="Arial"/>
          <w:color w:val="1E293B"/>
          <w:sz w:val="20"/>
        </w:rPr>
        <w:t>Sau khi cả 4 người điền xong, Trưởng nhóm tổng hợp theo đúng ánh xạ sau:</w:t>
      </w:r>
    </w:p>
    <w:tbl>
      <w:tblPr>
        <w:tblW w:type="auto" w:w="0"/>
        <w:jc w:val="center"/>
        <w:tblLook w:firstColumn="1" w:firstRow="1" w:lastColumn="0" w:lastRow="0" w:noHBand="0" w:noVBand="1" w:val="04A0"/>
      </w:tblPr>
      <w:tblGrid>
        <w:gridCol w:w="3216"/>
        <w:gridCol w:w="3216"/>
        <w:gridCol w:w="3216"/>
      </w:tblGrid>
      <w:tr>
        <w:tc>
          <w:tcPr>
            <w:tcW w:type="dxa" w:w="3216"/>
            <w:tcMar>
              <w:top w:w="80" w:type="dxa"/>
              <w:bottom w:w="80" w:type="dxa"/>
              <w:left w:w="120" w:type="dxa"/>
              <w:right w:w="120" w:type="dxa"/>
            </w:tcMar>
            <w:shd w:fill="1E4D78"/>
          </w:tcPr>
          <w:p>
            <w:pPr>
              <w:jc w:val="left"/>
            </w:pPr>
            <w:r>
              <w:rPr>
                <w:rFonts w:ascii="Arial" w:hAnsi="Arial"/>
                <w:b/>
                <w:color w:val="FFFFFF"/>
                <w:sz w:val="19"/>
              </w:rPr>
              <w:t>Mục trong mẫu này</w:t>
            </w:r>
          </w:p>
        </w:tc>
        <w:tc>
          <w:tcPr>
            <w:tcW w:type="dxa" w:w="3216"/>
            <w:tcMar>
              <w:top w:w="80" w:type="dxa"/>
              <w:bottom w:w="80" w:type="dxa"/>
              <w:left w:w="120" w:type="dxa"/>
              <w:right w:w="120" w:type="dxa"/>
            </w:tcMar>
            <w:shd w:fill="1E4D78"/>
          </w:tcPr>
          <w:p>
            <w:pPr>
              <w:jc w:val="left"/>
            </w:pPr>
            <w:r>
              <w:rPr>
                <w:rFonts w:ascii="Arial" w:hAnsi="Arial"/>
                <w:b/>
                <w:color w:val="FFFFFF"/>
                <w:sz w:val="19"/>
              </w:rPr>
              <w:t>Đưa vào đâu ở Báo cáo tổng kết (File 1)</w:t>
            </w:r>
          </w:p>
        </w:tc>
        <w:tc>
          <w:tcPr>
            <w:tcW w:type="dxa" w:w="3216"/>
            <w:tcMar>
              <w:top w:w="80" w:type="dxa"/>
              <w:bottom w:w="80" w:type="dxa"/>
              <w:left w:w="120" w:type="dxa"/>
              <w:right w:w="120" w:type="dxa"/>
            </w:tcMar>
            <w:shd w:fill="1E4D78"/>
          </w:tcPr>
          <w:p>
            <w:pPr>
              <w:jc w:val="left"/>
            </w:pPr>
            <w:r>
              <w:rPr>
                <w:rFonts w:ascii="Arial" w:hAnsi="Arial"/>
                <w:b/>
                <w:color w:val="FFFFFF"/>
                <w:sz w:val="19"/>
              </w:rPr>
              <w:t>Đưa vào đâu ở Báo cáo tiến độ (File 2)</w:t>
            </w:r>
          </w:p>
        </w:tc>
      </w:tr>
      <w:tr>
        <w:tc>
          <w:tcPr>
            <w:tcW w:type="dxa" w:w="3216"/>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jc w:val="left"/>
            </w:pPr>
            <w:r>
              <w:rPr>
                <w:rFonts w:ascii="Arial" w:hAnsi="Arial"/>
                <w:sz w:val="19"/>
              </w:rPr>
              <w:t>2. Mục tiêu &amp; Phạm vi</w:t>
            </w:r>
          </w:p>
        </w:tc>
        <w:tc>
          <w:tcPr>
            <w:tcW w:type="dxa" w:w="3216"/>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jc w:val="left"/>
            </w:pPr>
            <w:r>
              <w:rPr>
                <w:rFonts w:ascii="Arial" w:hAnsi="Arial"/>
                <w:sz w:val="19"/>
              </w:rPr>
              <w:t>Chương 1.4 / Chương 3 (giới thiệu từng thuật toán)</w:t>
            </w:r>
          </w:p>
        </w:tc>
        <w:tc>
          <w:tcPr>
            <w:tcW w:type="dxa" w:w="3216"/>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jc w:val="left"/>
            </w:pPr>
            <w:r>
              <w:rPr>
                <w:rFonts w:ascii="Arial" w:hAnsi="Arial"/>
                <w:sz w:val="19"/>
              </w:rPr>
              <w:t>—</w:t>
            </w:r>
          </w:p>
        </w:tc>
      </w:tr>
      <w:tr>
        <w:tc>
          <w:tcPr>
            <w:tcW w:type="dxa" w:w="3216"/>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sz w:val="19"/>
              </w:rPr>
              <w:t>3. Cơ sở lý thuyết</w:t>
            </w:r>
          </w:p>
        </w:tc>
        <w:tc>
          <w:tcPr>
            <w:tcW w:type="dxa" w:w="3216"/>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sz w:val="19"/>
              </w:rPr>
              <w:t>Chương 3 (3.2–3.4, mỗi thuật toán 1 mục con)</w:t>
            </w:r>
          </w:p>
        </w:tc>
        <w:tc>
          <w:tcPr>
            <w:tcW w:type="dxa" w:w="3216"/>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sz w:val="19"/>
              </w:rPr>
              <w:t>—</w:t>
            </w:r>
          </w:p>
        </w:tc>
      </w:tr>
      <w:tr>
        <w:tc>
          <w:tcPr>
            <w:tcW w:type="dxa" w:w="3216"/>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jc w:val="left"/>
            </w:pPr>
            <w:r>
              <w:rPr>
                <w:rFonts w:ascii="Arial" w:hAnsi="Arial"/>
                <w:sz w:val="19"/>
              </w:rPr>
              <w:t>4. Thiết kế &amp; Cài đặt</w:t>
            </w:r>
          </w:p>
        </w:tc>
        <w:tc>
          <w:tcPr>
            <w:tcW w:type="dxa" w:w="3216"/>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jc w:val="left"/>
            </w:pPr>
            <w:r>
              <w:rPr>
                <w:rFonts w:ascii="Arial" w:hAnsi="Arial"/>
                <w:sz w:val="19"/>
              </w:rPr>
              <w:t>Chương 3 (sơ đồ khối, mã hóa nghiệm) + Chương 4.1</w:t>
            </w:r>
          </w:p>
        </w:tc>
        <w:tc>
          <w:tcPr>
            <w:tcW w:type="dxa" w:w="3216"/>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jc w:val="left"/>
            </w:pPr>
            <w:r>
              <w:rPr>
                <w:rFonts w:ascii="Arial" w:hAnsi="Arial"/>
                <w:sz w:val="19"/>
              </w:rPr>
              <w:t>Mục 3 — Minh chứng sản phẩm</w:t>
            </w:r>
          </w:p>
        </w:tc>
      </w:tr>
      <w:tr>
        <w:tc>
          <w:tcPr>
            <w:tcW w:type="dxa" w:w="3216"/>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sz w:val="19"/>
              </w:rPr>
              <w:t>6. Kết quả thực nghiệm</w:t>
            </w:r>
          </w:p>
        </w:tc>
        <w:tc>
          <w:tcPr>
            <w:tcW w:type="dxa" w:w="3216"/>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sz w:val="19"/>
              </w:rPr>
              <w:t>Chương 5 (bảng tổng hợp Best/Avg/Worst)</w:t>
            </w:r>
          </w:p>
        </w:tc>
        <w:tc>
          <w:tcPr>
            <w:tcW w:type="dxa" w:w="3216"/>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sz w:val="19"/>
              </w:rPr>
              <w:t>—</w:t>
            </w:r>
          </w:p>
        </w:tc>
      </w:tr>
      <w:tr>
        <w:tc>
          <w:tcPr>
            <w:tcW w:type="dxa" w:w="3216"/>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jc w:val="left"/>
            </w:pPr>
            <w:r>
              <w:rPr>
                <w:rFonts w:ascii="Arial" w:hAnsi="Arial"/>
                <w:sz w:val="19"/>
              </w:rPr>
              <w:t>7. Khó khăn &amp; Giải pháp</w:t>
            </w:r>
          </w:p>
        </w:tc>
        <w:tc>
          <w:tcPr>
            <w:tcW w:type="dxa" w:w="3216"/>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jc w:val="left"/>
            </w:pPr>
            <w:r>
              <w:rPr>
                <w:rFonts w:ascii="Arial" w:hAnsi="Arial"/>
                <w:sz w:val="19"/>
              </w:rPr>
              <w:t>Chương 6.2 (Hạn chế còn tồn tại)</w:t>
            </w:r>
          </w:p>
        </w:tc>
        <w:tc>
          <w:tcPr>
            <w:tcW w:type="dxa" w:w="3216"/>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jc w:val="left"/>
            </w:pPr>
            <w:r>
              <w:rPr>
                <w:rFonts w:ascii="Arial" w:hAnsi="Arial"/>
                <w:sz w:val="19"/>
              </w:rPr>
              <w:t>Mục 4 — Vấn đề phát sinh &amp; giải pháp</w:t>
            </w:r>
          </w:p>
        </w:tc>
      </w:tr>
      <w:tr>
        <w:tc>
          <w:tcPr>
            <w:tcW w:type="dxa" w:w="3216"/>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sz w:val="19"/>
              </w:rPr>
              <w:t>8. Kết luận cá nhân</w:t>
            </w:r>
          </w:p>
        </w:tc>
        <w:tc>
          <w:tcPr>
            <w:tcW w:type="dxa" w:w="3216"/>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sz w:val="19"/>
              </w:rPr>
              <w:t>Chương 5.4 / Chương 6.1</w:t>
            </w:r>
          </w:p>
        </w:tc>
        <w:tc>
          <w:tcPr>
            <w:tcW w:type="dxa" w:w="3216"/>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sz w:val="19"/>
              </w:rPr>
              <w:t>—</w:t>
            </w:r>
          </w:p>
        </w:tc>
      </w:tr>
      <w:tr>
        <w:tc>
          <w:tcPr>
            <w:tcW w:type="dxa" w:w="3216"/>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jc w:val="left"/>
            </w:pPr>
            <w:r>
              <w:rPr>
                <w:rFonts w:ascii="Arial" w:hAnsi="Arial"/>
                <w:sz w:val="19"/>
              </w:rPr>
              <w:t>9. Tài liệu tham khảo</w:t>
            </w:r>
          </w:p>
        </w:tc>
        <w:tc>
          <w:tcPr>
            <w:tcW w:type="dxa" w:w="3216"/>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jc w:val="left"/>
            </w:pPr>
            <w:r>
              <w:rPr>
                <w:rFonts w:ascii="Arial" w:hAnsi="Arial"/>
                <w:sz w:val="19"/>
              </w:rPr>
              <w:t>Mục Tài liệu tham khảo cuối báo cáo (gộp cả 4 danh sách, loại trùng)</w:t>
            </w:r>
          </w:p>
        </w:tc>
        <w:tc>
          <w:tcPr>
            <w:tcW w:type="dxa" w:w="3216"/>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jc w:val="left"/>
            </w:pPr>
            <w:r>
              <w:rPr>
                <w:rFonts w:ascii="Arial" w:hAnsi="Arial"/>
                <w:sz w:val="19"/>
              </w:rPr>
              <w:t>—</w:t>
            </w:r>
          </w:p>
        </w:tc>
      </w:tr>
    </w:tbl>
    <w:p>
      <w:pPr>
        <w:pStyle w:val="ListParagraph"/>
      </w:pPr>
      <w:r>
        <w:rPr>
          <w:rFonts w:ascii="Arial" w:hAnsi="Arial"/>
          <w:color w:val="1E293B"/>
          <w:sz w:val="20"/>
        </w:rPr>
        <w:t>Trưởng nhóm chỉ cần đọc 4 bản đã điền, COPY và biên tập lại cho liền mạch — không cần viết lại từ đầu, tiết kiệm rất nhiều thời gian ở Giai đoạn 3 (mục 3.3 — Viết hoàn thiện Báo cáo tổng kết).</w:t>
      </w:r>
    </w:p>
    <w:p/>
    <w:p>
      <w:pPr>
        <w:pStyle w:val="Heading1"/>
      </w:pPr>
      <w:r>
        <w:t>1. Thông tin chung</w:t>
      </w:r>
    </w:p>
    <w:p>
      <w:r>
        <w:rPr>
          <w:rFonts w:ascii="Arial" w:hAnsi="Arial"/>
          <w:b/>
          <w:color w:val="123A63"/>
          <w:sz w:val="21"/>
        </w:rPr>
        <w:t xml:space="preserve">Họ tên: </w:t>
      </w:r>
      <w:r>
        <w:rPr>
          <w:rFonts w:ascii="Arial" w:hAnsi="Arial"/>
          <w:color w:val="1E293B"/>
          <w:sz w:val="21"/>
        </w:rPr>
        <w:t>Trần Quốc Trí (quoctri1014) - Trưởng nhóm &amp; Thành viên phụ trách Thuật toán Greedy Baseline</w:t>
      </w:r>
    </w:p>
    <w:p>
      <w:r>
        <w:rPr>
          <w:rFonts w:ascii="Arial" w:hAnsi="Arial"/>
          <w:b/>
          <w:color w:val="123A63"/>
          <w:sz w:val="21"/>
        </w:rPr>
        <w:t xml:space="preserve">Module/Thuật toán phụ trách: </w:t>
      </w:r>
      <w:r>
        <w:rPr>
          <w:rFonts w:ascii="Arial" w:hAnsi="Arial"/>
          <w:color w:val="1E293B"/>
          <w:sz w:val="21"/>
        </w:rPr>
        <w:t>Thuật toán Greedy Baseline (Mô hình nghiên cứu nâng cao: Constraint-Aware Multi-Criteria Adaptive Greedy Heuristic - CAMC-Greedy)</w:t>
      </w:r>
    </w:p>
    <w:p>
      <w:r>
        <w:rPr>
          <w:rFonts w:ascii="Arial" w:hAnsi="Arial"/>
          <w:b/>
          <w:color w:val="64748B"/>
          <w:sz w:val="21"/>
        </w:rPr>
        <w:t xml:space="preserve">Gợi ý: </w:t>
      </w:r>
      <w:r>
        <w:rPr>
          <w:rFonts w:ascii="Arial" w:hAnsi="Arial"/>
          <w:i/>
          <w:color w:val="64748B"/>
          <w:sz w:val="21"/>
        </w:rPr>
        <w:t>be/src/SchedulingApp.Application/Solver/GreedySolver.cs</w:t>
      </w:r>
    </w:p>
    <w:p>
      <w:r>
        <w:rPr>
          <w:rFonts w:ascii="Arial" w:hAnsi="Arial"/>
          <w:b/>
          <w:color w:val="123A63"/>
          <w:sz w:val="21"/>
        </w:rPr>
        <w:t xml:space="preserve">File mã nguồn chính: </w:t>
      </w:r>
      <w:r>
        <w:rPr>
          <w:rFonts w:ascii="Arial" w:hAnsi="Arial"/>
          <w:color w:val="1E293B"/>
          <w:sz w:val="21"/>
        </w:rPr>
        <w:t>BE/src/SchedulingApp.Application/Solver/GreedySolver.cs (Kiểm thử tại: BE/tests/SchedulingApp.Tests/SolverTests.cs)</w:t>
      </w:r>
    </w:p>
    <w:p>
      <w:r>
        <w:rPr>
          <w:rFonts w:ascii="Arial" w:hAnsi="Arial"/>
          <w:b/>
          <w:color w:val="123A63"/>
          <w:sz w:val="21"/>
        </w:rPr>
        <w:t xml:space="preserve">Thời gian thực hiện: </w:t>
      </w:r>
      <w:r>
        <w:rPr>
          <w:rFonts w:ascii="Arial" w:hAnsi="Arial"/>
          <w:color w:val="1E293B"/>
          <w:sz w:val="21"/>
        </w:rPr>
        <w:t>Từ ngày 01/08/2026 đến ngày 08/09/2026</w:t>
      </w:r>
    </w:p>
    <w:p>
      <w:pPr>
        <w:pStyle w:val="Heading1"/>
      </w:pPr>
      <w:r>
        <w:t>2. Mục tiêu &amp; Phạm vi công việc</w:t>
      </w:r>
    </w:p>
    <w:p>
      <w:r>
        <w:rPr>
          <w:rFonts w:ascii="Arial" w:hAnsi="Arial"/>
          <w:sz w:val="21"/>
        </w:rPr>
        <w:t>Module này giải quyết bài toán cốt lõi: Thiết kế và phát triển giải thuật Heuristic nền tảng (Baseline Benchmark) cho bài toán Xếp ca làm việc đa công ty, đa phòng ban, đa vị trí với đầy đủ ràng buộc thực tế, đạt tốc độ thực thi siêu tốc (dưới 5ms) và tính khả thi 100% về ràng buộc cứng.</w:t>
      </w:r>
    </w:p>
    <w:p>
      <w:pPr>
        <w:pStyle w:val="ListParagraph"/>
      </w:pPr>
      <w:r>
        <w:rPr>
          <w:rFonts w:ascii="Arial" w:hAnsi="Arial"/>
          <w:b/>
          <w:color w:val="1E4D78"/>
          <w:sz w:val="20"/>
        </w:rPr>
        <w:t xml:space="preserve">Vấn đề giải quyết: </w:t>
      </w:r>
      <w:r>
        <w:rPr>
          <w:rFonts w:ascii="Arial" w:hAnsi="Arial"/>
          <w:color w:val="1E293B"/>
          <w:sz w:val="20"/>
        </w:rPr>
        <w:t>Trong các bài toán tối ưu tổ hợp (NP-hard), giải thuật Greedy đóng vai trò là mốc đối chuẩn (baseline) không thể thiếu để so sánh, đánh giá tính vượt trội của các thuật toán Metaheuristics (GA, SA, Hybrid). Tuy nhiên, Greedy cổ điển thường bị 'thiển cận' (myopic), phân bổ lệch tải và vi phạm ràng buộc nghỉ ngơi. Module này nâng cấp Greedy thành CAMC-Greedy nhằm triệt tiêu các nhược điểm trên, tạo ra lời giải khả thi, công bằng và có chất lượng cao nhất trong thời gian thực.</w:t>
      </w:r>
    </w:p>
    <w:p>
      <w:pPr>
        <w:pStyle w:val="ListParagraph"/>
      </w:pPr>
      <w:r>
        <w:rPr>
          <w:rFonts w:ascii="Arial" w:hAnsi="Arial"/>
          <w:b/>
          <w:color w:val="1E4D78"/>
          <w:sz w:val="20"/>
        </w:rPr>
        <w:t xml:space="preserve">Đầu vào (Input): </w:t>
      </w:r>
      <w:r>
        <w:rPr>
          <w:rFonts w:ascii="Arial" w:hAnsi="Arial"/>
          <w:color w:val="1E293B"/>
          <w:sz w:val="20"/>
        </w:rPr>
        <w:t>Đối tượng SolverInput chứa danh sách Shifts (các ca cần xếp, thời gian, số người cần, công ty, phòng ban, vị trí), danh sách Employees (kèm các phân công chuyên môn Assignments, chứng chỉ, lịch nghỉ phép Leaves, nguyện vọng Preferences), khoảng thời gian FromDate – ToDate, và từ điển cấu hình tham số Options.</w:t>
      </w:r>
    </w:p>
    <w:p>
      <w:pPr>
        <w:pStyle w:val="ListParagraph"/>
      </w:pPr>
      <w:r>
        <w:rPr>
          <w:rFonts w:ascii="Arial" w:hAnsi="Arial"/>
          <w:b/>
          <w:color w:val="1E4D78"/>
          <w:sz w:val="20"/>
        </w:rPr>
        <w:t xml:space="preserve">Đầu ra (Output): </w:t>
      </w:r>
      <w:r>
        <w:rPr>
          <w:rFonts w:ascii="Arial" w:hAnsi="Arial"/>
          <w:color w:val="1E293B"/>
          <w:sz w:val="20"/>
        </w:rPr>
        <w:t>Đối tượng ScheduleResultDto chứa từ điển phân công ca hoàn chỉnh Schedule, số ca đủ người FilledShifts, số ca thiếu người UnfilledShifts, thời gian chạy chính xác ExecutionTimeMs (Stopwatch), tổng điểm phạt TotalPenaltyScore, số vi phạm cứng HardViolationsCount = 0, số vi phạm mềm SoftViolationsCount, và chi tiết bảng phân rã điểm phạt PenaltyBreakdown.</w:t>
      </w:r>
    </w:p>
    <w:p>
      <w:pPr>
        <w:pStyle w:val="ListParagraph"/>
      </w:pPr>
      <w:r>
        <w:rPr>
          <w:rFonts w:ascii="Arial" w:hAnsi="Arial"/>
          <w:b/>
          <w:color w:val="1E4D78"/>
          <w:sz w:val="20"/>
        </w:rPr>
        <w:t xml:space="preserve">Phạm vi KHÔNG bao gồm: </w:t>
      </w:r>
      <w:r>
        <w:rPr>
          <w:rFonts w:ascii="Arial" w:hAnsi="Arial"/>
          <w:color w:val="1E293B"/>
          <w:sz w:val="20"/>
        </w:rPr>
        <w:t>Thuật toán tập trung vào tính tất định (deterministic) và phương pháp kiến thiết thích ứng (Adaptive Constructive Heuristic); KHÔNG bao gồm các cơ chế tìm kiếm ngẫu nhiên/tiến hóa đa thế hệ (thuộc phạm vi của thành viên GA), KHÔNG dùng xác suất nhảy nghiệm kém để vượt cực trị cục bộ (thuộc phạm vi SA), và KHÔNG áp dụng tìm kiếm cục bộ sâu lặp lại nhiều chu kỳ (thuộc phạm vi Hybrid).</w:t>
      </w:r>
    </w:p>
    <w:p>
      <w:pPr>
        <w:pStyle w:val="Heading1"/>
      </w:pPr>
      <w:r>
        <w:t>3. Cơ sở lý thuyết / Nghiên cứu</w:t>
      </w:r>
    </w:p>
    <w:p>
      <w:r>
        <w:rPr>
          <w:rFonts w:ascii="Arial" w:hAnsi="Arial"/>
          <w:sz w:val="21"/>
        </w:rPr>
        <w:t>Bài toán Xếp lịch Ca làm việc Đa ràng buộc (Multi-Constrained Staff Rostering / Nurse Scheduling Problem - NSP) là một bài toán tối ưu tổ hợp thuộc lớp NP-hard. Nghiên cứu tập trung giải quyết bài toán thông qua mô hình lý thuyết CAMC-Greedy (Constraint-Aware Multi-Criteria Adaptive Greedy Heuristic) với các nguyên lý sau:</w:t>
      </w:r>
    </w:p>
    <w:p>
      <w:r>
        <w:rPr>
          <w:rFonts w:ascii="Arial" w:hAnsi="Arial"/>
          <w:b/>
          <w:color w:val="1E4D78"/>
          <w:sz w:val="21"/>
        </w:rPr>
        <w:t>1. Nguyên lý Heuristic MRV (Minimum Remaining Values / Most Constrained Variable First):</w:t>
        <w:br/>
      </w:r>
      <w:r>
        <w:rPr>
          <w:rFonts w:ascii="Arial" w:hAnsi="Arial"/>
          <w:color w:val="1E293B"/>
          <w:sz w:val="20"/>
        </w:rPr>
        <w:t>Trong lý thuyết giải bài toán thỏa mãn ràng buộc (CSP), kỹ thuật MRV phát biểu rằng biến nào chịu nhiều ràng buộc nhất và có không gian nghiệm khả thi hẹp nhất cần được gán giá trị trước. Ứng dụng vào xếp ca, CAMC-Greedy tính toán Chỉ số khan hiếm (Difficulty Index) cho từng ca làm việc:</w:t>
        <w:br/>
        <w:t xml:space="preserve">    Difficulty(s) = RequiredEmployeeCount(s) / max(1, |EligibleCandidates(s)|)</w:t>
        <w:br/>
        <w:t>Ca nào có ít nhân viên đủ tiêu chuẩn và cần nhiều người làm sẽ có Difficulty cao nhất và được xếp lịch trước tiên. Điều này loại trừ triệt để hiện tượng 'cháy ca' (unfilled shifts) ở các ca cuối kỳ do ứng viên thích hợp bị gán sớm cho các ca dễ.</w:t>
      </w:r>
    </w:p>
    <w:p>
      <w:r>
        <w:rPr>
          <w:rFonts w:ascii="Arial" w:hAnsi="Arial"/>
          <w:b/>
          <w:color w:val="1E4D78"/>
          <w:sz w:val="21"/>
        </w:rPr>
        <w:t>2. Bộ lọc bảo toàn tính khả thi cứng (Hard-Feasibility Guard):</w:t>
        <w:br/>
      </w:r>
      <w:r>
        <w:rPr>
          <w:rFonts w:ascii="Arial" w:hAnsi="Arial"/>
          <w:color w:val="1E293B"/>
          <w:sz w:val="20"/>
        </w:rPr>
        <w:t>Tại mỗi bước gán, một nhân viên e chỉ được coi là ứng viên hợp lệ cho ca s nếu thỏa mãn đồng thời 5 điều kiện cứng sau:</w:t>
        <w:br/>
        <w:t xml:space="preserve">  • Điều kiện chuyên môn &amp; chứng chỉ: e có phân công đúng Company, Department, Position và hạn chứng chỉ CertExpiry &gt;= StartDate(s).</w:t>
        <w:br/>
        <w:t xml:space="preserve">  • Điều kiện nghỉ phép: e không có lịch nghỉ phép đã duyệt (Approved Leave) giao cắt với khoảng thời gian làm việc của ca [StartDate(s), EndDate(s)].</w:t>
        <w:br/>
        <w:t xml:space="preserve">  • Điều kiện không trùng ca: Ca mới không giao nhau về mặt thời gian với bất kỳ ca nào đã gán trước đó cho e.</w:t>
        <w:br/>
        <w:t xml:space="preserve">  • Điều kiện thời gian nghỉ tối thiểu: Khoảng cách giữa thời điểm kết thúc ca trước và bắt đầu ca sau phải &gt;= minRestHours (mặc định 8h - 12h, có xử lý ca qua đêm).</w:t>
        <w:br/>
        <w:t xml:space="preserve">  • Điều kiện trần giờ tuần: Tổng giờ làm việc lũy kế trong tuần tính từ Thứ 2 của e cộng với độ dài ca mới không vượt quá MaxHoursPerWeek.</w:t>
      </w:r>
    </w:p>
    <w:p>
      <w:r>
        <w:rPr>
          <w:rFonts w:ascii="Arial" w:hAnsi="Arial"/>
          <w:b/>
          <w:color w:val="1E4D78"/>
          <w:sz w:val="21"/>
        </w:rPr>
        <w:t>3. Hàm chi phí biên đa mục tiêu (Multi-Criteria Marginal Cost Scoring):</w:t>
        <w:br/>
      </w:r>
      <w:r>
        <w:rPr>
          <w:rFonts w:ascii="Arial" w:hAnsi="Arial"/>
          <w:color w:val="1E293B"/>
          <w:sz w:val="20"/>
        </w:rPr>
        <w:t>Khi có nhiều ứng viên cùng thỏa mãn toàn bộ ràng buộc cứng, thuật toán không chọn ngẫu nhiên mà tính điểm chi phí biên C(e, s) để chọn ứng viên có giá trị nhỏ nhất:</w:t>
        <w:br/>
        <w:t xml:space="preserve">    C(e, s) = w_load * (Hours(e) / MaxHours(e)) + w_pref * Pen_pref(e, s) - w_rest * Delta_rest(e, s) - w_eff * Efficiency(e)</w:t>
        <w:br/>
        <w:t>Trong đó:</w:t>
        <w:br/>
        <w:t xml:space="preserve">  • Workload Fairness: Tỷ lệ giờ đã làm (Hours(e)/MaxHours(e)) phạt các nhân viên đã làm nhiều, ưu tiên trao cơ hội cho nhân viên còn nhiều hạn mức giờ, cân bằng tải lao động.</w:t>
        <w:br/>
        <w:t xml:space="preserve">  • Preferences Satisfaction: Pen_pref(e, s) phạt điểm nếu ca rơi vào ngày nghỉ mong muốn hoặc khung giờ nhân viên không ưu tiên.</w:t>
        <w:br/>
        <w:t xml:space="preserve">  • Fatigue Mitigation: Delta_rest(e, s) đo lường độ dôi dư của thời gian nghỉ so với ngưỡng tối thiểu minRestHours (nghỉ càng dài càng giảm mệt mỏi).</w:t>
        <w:br/>
        <w:t xml:space="preserve">  • Efficiency Exploitation: Ưu tiên nhân viên có hệ số năng suất chuyên môn cao.</w:t>
      </w:r>
    </w:p>
    <w:p>
      <w:r>
        <w:rPr>
          <w:rFonts w:ascii="Arial" w:hAnsi="Arial"/>
          <w:b/>
          <w:color w:val="1E4D78"/>
          <w:sz w:val="21"/>
        </w:rPr>
        <w:t>4. Lý do lựa chọn CAMC-Greedy (Ưu điểm vượt trội so với Naive Greedy Baseline):</w:t>
        <w:br/>
      </w:r>
      <w:r>
        <w:rPr>
          <w:rFonts w:ascii="Arial" w:hAnsi="Arial"/>
          <w:color w:val="1E293B"/>
          <w:sz w:val="20"/>
        </w:rPr>
        <w:t xml:space="preserve">  • Giải quyết triệt để 3 bệnh lý kinh điển: Bệnh thiển cận (Myopic), mất cân bằng tải trầm trọng (Starvation) và vi phạm ràng buộc nghiệp vụ.</w:t>
        <w:br/>
        <w:t xml:space="preserve">  • Đảm bảo tính khả thi 100% về ràng buộc cứng (HardViolationsCount = 0).</w:t>
        <w:br/>
        <w:t xml:space="preserve">  • Tốc độ thực thi siêu tốc: Độ phức tạp O(S log S + S * E), chạy trong 1ms - 3ms trên tập dữ liệu hàng trăm ca/nhân viên, nhanh hơn SA và GA từ 100 đến 200 lần.</w:t>
        <w:br/>
        <w:t xml:space="preserve">  • Tính tất định (Deterministic): Khác với GA và SA có yếu tố ngẫu nhiên, Greedy cho kết quả bất biến qua các lần chạy (độ lệch chuẩn = 0), đóng vai trò mốc quy chiếu chuẩn mực trong báo cáo khoa học.</w:t>
      </w:r>
    </w:p>
    <w:p>
      <w:pPr>
        <w:pStyle w:val="Heading1"/>
      </w:pPr>
      <w:r>
        <w:t>4. Thiết kế &amp; Cài đặt</w:t>
      </w:r>
    </w:p>
    <w:p>
      <w:pPr>
        <w:pStyle w:val="Heading2"/>
      </w:pPr>
      <w:r>
        <w:t>4.1. Sơ đồ khối / Lưu đồ thuật toán</w:t>
      </w:r>
    </w:p>
    <w:p>
      <w:pPr>
        <w:pStyle w:val="ListParagraph"/>
      </w:pPr>
      <w:r>
        <w:rPr>
          <w:rFonts w:ascii="Arial" w:hAnsi="Arial"/>
          <w:b/>
          <w:color w:val="123A63"/>
          <w:sz w:val="20"/>
        </w:rPr>
        <w:t xml:space="preserve">Bước 1: Tiếp nhận dữ liệu &amp; Chuẩn hóa: </w:t>
      </w:r>
      <w:r>
        <w:rPr>
          <w:rFonts w:ascii="Arial" w:hAnsi="Arial"/>
          <w:color w:val="1E293B"/>
          <w:sz w:val="20"/>
        </w:rPr>
        <w:t>Nhận SolverInput, trích xuất danh sách ca làm việc và nhân viên chưa bị xóa (IsDeleted = false). Chuẩn hóa khoảng thời gian ca làm việc (ShiftIntervals), tự động cộng thêm 1 ngày cho thời điểm kết thúc đối với các ca làm việc qua đêm (EndDate &lt;= StartDate).</w:t>
      </w:r>
    </w:p>
    <w:p>
      <w:pPr>
        <w:pStyle w:val="ListParagraph"/>
      </w:pPr>
      <w:r>
        <w:rPr>
          <w:rFonts w:ascii="Arial" w:hAnsi="Arial"/>
          <w:b/>
          <w:color w:val="123A63"/>
          <w:sz w:val="20"/>
        </w:rPr>
        <w:t xml:space="preserve">Bước 2: Tiền lọc ứng viên chuyên môn: </w:t>
      </w:r>
      <w:r>
        <w:rPr>
          <w:rFonts w:ascii="Arial" w:hAnsi="Arial"/>
          <w:color w:val="1E293B"/>
          <w:sz w:val="20"/>
        </w:rPr>
        <w:t>Với mỗi ca s, duyệt danh sách nhân viên để lọc ra tập ứng viên đủ điều kiện cơ bản ban đầu (khớp CompanyId, DepartmentId, PositionId và chứng chỉ CertificateExpiryDate &gt;= StartDate).</w:t>
      </w:r>
    </w:p>
    <w:p>
      <w:pPr>
        <w:pStyle w:val="ListParagraph"/>
      </w:pPr>
      <w:r>
        <w:rPr>
          <w:rFonts w:ascii="Arial" w:hAnsi="Arial"/>
          <w:b/>
          <w:color w:val="123A63"/>
          <w:sz w:val="20"/>
        </w:rPr>
        <w:t xml:space="preserve">Bước 3: Phân tích độ khó ca (MRV Heuristic): </w:t>
      </w:r>
      <w:r>
        <w:rPr>
          <w:rFonts w:ascii="Arial" w:hAnsi="Arial"/>
          <w:color w:val="1E293B"/>
          <w:sz w:val="20"/>
        </w:rPr>
        <w:t>Tính chỉ số khan hiếm Difficulty Index cho từng ca. Sắp xếp danh sách ca giảm dần theo độ khó, các ca có tỷ lệ (Required / EligibleCount) cao nhất được đưa lên đầu hàng đợi.</w:t>
      </w:r>
    </w:p>
    <w:p>
      <w:pPr>
        <w:pStyle w:val="ListParagraph"/>
      </w:pPr>
      <w:r>
        <w:rPr>
          <w:rFonts w:ascii="Arial" w:hAnsi="Arial"/>
          <w:b/>
          <w:color w:val="123A63"/>
          <w:sz w:val="20"/>
        </w:rPr>
        <w:t xml:space="preserve">Bước 4: Vòng lặp duyệt ca &amp; Lọc ràng buộc cứng tức thời: </w:t>
      </w:r>
      <w:r>
        <w:rPr>
          <w:rFonts w:ascii="Arial" w:hAnsi="Arial"/>
          <w:color w:val="1E293B"/>
          <w:sz w:val="20"/>
        </w:rPr>
        <w:t>Với mỗi ca s trong danh sách đã sắp xếp, lọc tập ứng viên khả thi: không trùng ca, không vi phạm giờ nghỉ tối thiểu minRestHours (có tính ca qua đêm), không nghỉ phép, không vượt trần giờ làm trong tuần.</w:t>
      </w:r>
    </w:p>
    <w:p>
      <w:pPr>
        <w:pStyle w:val="ListParagraph"/>
      </w:pPr>
      <w:r>
        <w:rPr>
          <w:rFonts w:ascii="Arial" w:hAnsi="Arial"/>
          <w:b/>
          <w:color w:val="123A63"/>
          <w:sz w:val="20"/>
        </w:rPr>
        <w:t xml:space="preserve">Bước 5: Chấm điểm biên đa mục tiêu (Marginal Cost Scoring): </w:t>
      </w:r>
      <w:r>
        <w:rPr>
          <w:rFonts w:ascii="Arial" w:hAnsi="Arial"/>
          <w:color w:val="1E293B"/>
          <w:sz w:val="20"/>
        </w:rPr>
        <w:t>Tính điểm chi phí biên C(e, s) cho từng ứng viên thỏa mãn. Sắp xếp tăng dần theo điểm số; tie-break ổn định theo EmployeeId.</w:t>
      </w:r>
    </w:p>
    <w:p>
      <w:pPr>
        <w:pStyle w:val="ListParagraph"/>
      </w:pPr>
      <w:r>
        <w:rPr>
          <w:rFonts w:ascii="Arial" w:hAnsi="Arial"/>
          <w:b/>
          <w:color w:val="123A63"/>
          <w:sz w:val="20"/>
        </w:rPr>
        <w:t xml:space="preserve">Bước 6: Gán ca &amp; Cập nhật trạng thái động: </w:t>
      </w:r>
      <w:r>
        <w:rPr>
          <w:rFonts w:ascii="Arial" w:hAnsi="Arial"/>
          <w:color w:val="1E293B"/>
          <w:sz w:val="20"/>
        </w:rPr>
        <w:t>Gán k ứng viên tốt nhất vào ca s. Cập nhật ngay lập tức: danh sách khoảng thời gian đã làm của nhân viên, số giờ lũy kế, số giờ trong tuần, và ghi nhận vi phạm nguyện vọng nếu có.</w:t>
      </w:r>
    </w:p>
    <w:p>
      <w:pPr>
        <w:pStyle w:val="ListParagraph"/>
      </w:pPr>
      <w:r>
        <w:rPr>
          <w:rFonts w:ascii="Arial" w:hAnsi="Arial"/>
          <w:b/>
          <w:color w:val="123A63"/>
          <w:sz w:val="20"/>
        </w:rPr>
        <w:t xml:space="preserve">Bước 7: Đánh giá chỉ số khoa học &amp; Trả kết quả: </w:t>
      </w:r>
      <w:r>
        <w:rPr>
          <w:rFonts w:ascii="Arial" w:hAnsi="Arial"/>
          <w:color w:val="1E293B"/>
          <w:sz w:val="20"/>
        </w:rPr>
        <w:t>Đo chính xác thời gian chạy bằng Stopwatch. Tính toán HardViolationsCount (= 0), SoftViolationsCount, PenaltyBreakdown chi tiết (Chưa phân đủ người, Không đáp ứng nguyện vọng, Mất cân bằng giờ làm) và trả về ScheduleResultDto.</w:t>
      </w:r>
    </w:p>
    <w:p>
      <w:pPr>
        <w:pStyle w:val="Heading2"/>
      </w:pPr>
      <w:r>
        <w:t>4.2. Mã giả (Pseudocode) hoặc đoạn code minh họa quan trọng nhất</w:t>
      </w:r>
    </w:p>
    <w:p>
      <w:r>
        <w:rPr>
          <w:rFonts w:ascii="Consolas" w:hAnsi="Consolas"/>
          <w:color w:val="0F172A"/>
          <w:sz w:val="18"/>
        </w:rPr>
        <w:t>// Thuật toán CAMC-Greedy cốt lõi (Trích xuất từ GreedySolver.cs)</w:t>
        <w:br/>
        <w:t>function RunCAMCGreedy(input: SolverInput): ScheduleResultDto:</w:t>
        <w:br/>
        <w:t xml:space="preserve">    targetShifts = NormalizeAndFilter(input.Shifts)</w:t>
        <w:br/>
        <w:t xml:space="preserve">    employees = FilterActive(input.Employees)</w:t>
        <w:br/>
        <w:t xml:space="preserve">    </w:t>
        <w:br/>
        <w:t xml:space="preserve">    // 1. Áp dụng Heuristic MRV để sắp xếp thứ tự ca theo độ khó</w:t>
        <w:br/>
        <w:t xml:space="preserve">    orderedShifts = targetShifts.OrderByDescending(s =&gt; </w:t>
        <w:br/>
        <w:t xml:space="preserve">        s.RequiredEmployeeCount / Max(1, EligibleCandidates(s, employees).Count))</w:t>
        <w:br/>
        <w:t xml:space="preserve">    </w:t>
        <w:br/>
        <w:t xml:space="preserve">    for shift in orderedShifts:</w:t>
        <w:br/>
        <w:t xml:space="preserve">        feasibleCandidates = []</w:t>
        <w:br/>
        <w:t xml:space="preserve">        for emp in EligibleCandidates(shift, employees):</w:t>
        <w:br/>
        <w:t xml:space="preserve">            // 2. Bộ lọc Ràng buộc cứng (Hard-Feasibility Guard)</w:t>
        <w:br/>
        <w:t xml:space="preserve">            if HasOverlap(emp, shift) or ViolatesMinRest(emp, shift, minRestHours): continue</w:t>
        <w:br/>
        <w:t xml:space="preserve">            if ExceedsWeeklyMaxHours(emp, shift) or IsOnApprovedLeave(emp, shift): continue</w:t>
        <w:br/>
        <w:t xml:space="preserve">            </w:t>
        <w:br/>
        <w:t xml:space="preserve">            // 3. Tính điểm chi phí biên đa mục tiêu (Multi-Criteria Marginal Scoring)</w:t>
        <w:br/>
        <w:t xml:space="preserve">            loadRatio = (HoursWorked(emp) + ShiftHours(shift)) / MaxHours(emp)</w:t>
        <w:br/>
        <w:t xml:space="preserve">            prefPen   = ViolatesPreference(emp, shift) ? 10.0 : 0.0</w:t>
        <w:br/>
        <w:t xml:space="preserve">            restMargin = CalculateRestSlack(emp, shift, minRestHours)</w:t>
        <w:br/>
        <w:t xml:space="preserve">            score = (w_load * loadRatio) + (w_pref * prefPen) - (w_rest * restMargin) - (w_eff * Eff(emp, shift))</w:t>
        <w:br/>
        <w:t xml:space="preserve">            feasibleCandidates.Add((emp, score))</w:t>
        <w:br/>
        <w:t xml:space="preserve">        </w:t>
        <w:br/>
        <w:t xml:space="preserve">        // 4. Chọn các ứng viên có điểm chi phí thấp nhất và cập nhật tải</w:t>
        <w:br/>
        <w:t xml:space="preserve">        selected = feasibleCandidates.OrderBy(c =&gt; c.Score).ThenBy(c =&gt; c.emp.Id).Take(shift.RequiredCount)</w:t>
        <w:br/>
        <w:t xml:space="preserve">        Assign(shift, selected)</w:t>
        <w:br/>
        <w:t xml:space="preserve">        UpdateWorkloadAndIntervals(selected, shift)</w:t>
        <w:br/>
        <w:t xml:space="preserve">    </w:t>
        <w:br/>
        <w:t xml:space="preserve">    return ComputeFinalMetrics(schedule, elapsedMilliseconds)</w:t>
      </w:r>
    </w:p>
    <w:p>
      <w:pPr>
        <w:pStyle w:val="Heading2"/>
      </w:pPr>
      <w:r>
        <w:t>4.3. Cách đọc tham số từ input.Options</w:t>
      </w:r>
    </w:p>
    <w:p>
      <w:r>
        <w:rPr>
          <w:rFonts w:ascii="Arial" w:hAnsi="Arial"/>
          <w:sz w:val="20"/>
        </w:rPr>
        <w:t>Thuật toán CAMC-Greedy hỗ trợ đọc cấu hình linh hoạt từ input.Options để phục vụ các nghiên cứu thực nghiệm bóc tách (Ablation Study) và so sánh tham số:</w:t>
      </w:r>
    </w:p>
    <w:tbl>
      <w:tblPr>
        <w:tblW w:type="auto" w:w="0"/>
        <w:jc w:val="center"/>
        <w:tblLook w:firstColumn="1" w:firstRow="1" w:lastColumn="0" w:lastRow="0" w:noHBand="0" w:noVBand="1" w:val="04A0"/>
      </w:tblPr>
      <w:tblGrid>
        <w:gridCol w:w="2412"/>
        <w:gridCol w:w="2412"/>
        <w:gridCol w:w="2412"/>
        <w:gridCol w:w="2412"/>
      </w:tblGrid>
      <w:tr>
        <w:tc>
          <w:tcPr>
            <w:tcW w:type="dxa" w:w="2412"/>
            <w:tcMar>
              <w:top w:w="70" w:type="dxa"/>
              <w:bottom w:w="70" w:type="dxa"/>
              <w:left w:w="100" w:type="dxa"/>
              <w:right w:w="100" w:type="dxa"/>
            </w:tcMar>
            <w:shd w:fill="1E4D78"/>
          </w:tcPr>
          <w:p>
            <w:r>
              <w:rPr>
                <w:rFonts w:ascii="Arial" w:hAnsi="Arial"/>
                <w:b/>
                <w:color w:val="FFFFFF"/>
                <w:sz w:val="18"/>
              </w:rPr>
              <w:t>Tên tham số (key)</w:t>
            </w:r>
          </w:p>
        </w:tc>
        <w:tc>
          <w:tcPr>
            <w:tcW w:type="dxa" w:w="2412"/>
            <w:tcMar>
              <w:top w:w="70" w:type="dxa"/>
              <w:bottom w:w="70" w:type="dxa"/>
              <w:left w:w="100" w:type="dxa"/>
              <w:right w:w="100" w:type="dxa"/>
            </w:tcMar>
            <w:shd w:fill="1E4D78"/>
          </w:tcPr>
          <w:p>
            <w:r>
              <w:rPr>
                <w:rFonts w:ascii="Arial" w:hAnsi="Arial"/>
                <w:b/>
                <w:color w:val="FFFFFF"/>
                <w:sz w:val="18"/>
              </w:rPr>
              <w:t>Kiểu dữ liệu</w:t>
            </w:r>
          </w:p>
        </w:tc>
        <w:tc>
          <w:tcPr>
            <w:tcW w:type="dxa" w:w="2412"/>
            <w:tcMar>
              <w:top w:w="70" w:type="dxa"/>
              <w:bottom w:w="70" w:type="dxa"/>
              <w:left w:w="100" w:type="dxa"/>
              <w:right w:w="100" w:type="dxa"/>
            </w:tcMar>
            <w:shd w:fill="1E4D78"/>
          </w:tcPr>
          <w:p>
            <w:r>
              <w:rPr>
                <w:rFonts w:ascii="Arial" w:hAnsi="Arial"/>
                <w:b/>
                <w:color w:val="FFFFFF"/>
                <w:sz w:val="18"/>
              </w:rPr>
              <w:t>Giá trị mặc định</w:t>
            </w:r>
          </w:p>
        </w:tc>
        <w:tc>
          <w:tcPr>
            <w:tcW w:type="dxa" w:w="2412"/>
            <w:tcMar>
              <w:top w:w="70" w:type="dxa"/>
              <w:bottom w:w="70" w:type="dxa"/>
              <w:left w:w="100" w:type="dxa"/>
              <w:right w:w="100" w:type="dxa"/>
            </w:tcMar>
            <w:shd w:fill="1E4D78"/>
          </w:tcPr>
          <w:p>
            <w:r>
              <w:rPr>
                <w:rFonts w:ascii="Arial" w:hAnsi="Arial"/>
                <w:b/>
                <w:color w:val="FFFFFF"/>
                <w:sz w:val="18"/>
              </w:rPr>
              <w:t>Ý nghĩa trong nghiên cứu</w:t>
            </w:r>
          </w:p>
        </w:tc>
      </w:tr>
      <w:tr>
        <w:tc>
          <w:tcPr>
            <w:tcW w:type="dxa" w:w="2412"/>
            <w:tcMar>
              <w:top w:w="70" w:type="dxa"/>
              <w:bottom w:w="7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strategy</w:t>
            </w:r>
          </w:p>
        </w:tc>
        <w:tc>
          <w:tcPr>
            <w:tcW w:type="dxa" w:w="2412"/>
            <w:tcMar>
              <w:top w:w="70" w:type="dxa"/>
              <w:bottom w:w="7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string</w:t>
            </w:r>
          </w:p>
        </w:tc>
        <w:tc>
          <w:tcPr>
            <w:tcW w:type="dxa" w:w="2412"/>
            <w:tcMar>
              <w:top w:w="70" w:type="dxa"/>
              <w:bottom w:w="7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"adaptive"</w:t>
            </w:r>
          </w:p>
        </w:tc>
        <w:tc>
          <w:tcPr>
            <w:tcW w:type="dxa" w:w="2412"/>
            <w:tcMar>
              <w:top w:w="70" w:type="dxa"/>
              <w:bottom w:w="7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Chiến lược duyệt ca: 'adaptive' (MRV + đa mục tiêu), 'mrv' (chỉ MRV), 'load_balanced' (duyệt thời gian + cân bằng tải), 'standard' (naive greedy)</w:t>
            </w:r>
          </w:p>
        </w:tc>
      </w:tr>
      <w:tr>
        <w:tc>
          <w:tcPr>
            <w:tcW w:type="dxa" w:w="2412"/>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sz w:val="18"/>
              </w:rPr>
              <w:t>minRestHours</w:t>
            </w:r>
          </w:p>
        </w:tc>
        <w:tc>
          <w:tcPr>
            <w:tcW w:type="dxa" w:w="2412"/>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sz w:val="18"/>
              </w:rPr>
              <w:t>double</w:t>
            </w:r>
          </w:p>
        </w:tc>
        <w:tc>
          <w:tcPr>
            <w:tcW w:type="dxa" w:w="2412"/>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sz w:val="18"/>
              </w:rPr>
              <w:t>8.0</w:t>
            </w:r>
          </w:p>
        </w:tc>
        <w:tc>
          <w:tcPr>
            <w:tcW w:type="dxa" w:w="2412"/>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sz w:val="18"/>
              </w:rPr>
              <w:t>Số giờ nghỉ tối thiểu bắt buộc giữa 2 ca làm việc liên tiếp của cùng 1 nhân viên</w:t>
            </w:r>
          </w:p>
        </w:tc>
      </w:tr>
      <w:tr>
        <w:tc>
          <w:tcPr>
            <w:tcW w:type="dxa" w:w="2412"/>
            <w:tcMar>
              <w:top w:w="70" w:type="dxa"/>
              <w:bottom w:w="7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weightLoad</w:t>
            </w:r>
          </w:p>
        </w:tc>
        <w:tc>
          <w:tcPr>
            <w:tcW w:type="dxa" w:w="2412"/>
            <w:tcMar>
              <w:top w:w="70" w:type="dxa"/>
              <w:bottom w:w="7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double</w:t>
            </w:r>
          </w:p>
        </w:tc>
        <w:tc>
          <w:tcPr>
            <w:tcW w:type="dxa" w:w="2412"/>
            <w:tcMar>
              <w:top w:w="70" w:type="dxa"/>
              <w:bottom w:w="7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w:t>
            </w:r>
          </w:p>
        </w:tc>
        <w:tc>
          <w:tcPr>
            <w:tcW w:type="dxa" w:w="2412"/>
            <w:tcMar>
              <w:top w:w="70" w:type="dxa"/>
              <w:bottom w:w="7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Trọng số phạt tỷ lệ giờ làm việc nhằm tối ưu hóa tính công bằng và cân bằng tải</w:t>
            </w:r>
          </w:p>
        </w:tc>
      </w:tr>
      <w:tr>
        <w:tc>
          <w:tcPr>
            <w:tcW w:type="dxa" w:w="2412"/>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sz w:val="18"/>
              </w:rPr>
              <w:t>weightPref</w:t>
            </w:r>
          </w:p>
        </w:tc>
        <w:tc>
          <w:tcPr>
            <w:tcW w:type="dxa" w:w="2412"/>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sz w:val="18"/>
              </w:rPr>
              <w:t>double</w:t>
            </w:r>
          </w:p>
        </w:tc>
        <w:tc>
          <w:tcPr>
            <w:tcW w:type="dxa" w:w="2412"/>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sz w:val="18"/>
              </w:rPr>
              <w:t>5.0</w:t>
            </w:r>
          </w:p>
        </w:tc>
        <w:tc>
          <w:tcPr>
            <w:tcW w:type="dxa" w:w="2412"/>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sz w:val="18"/>
              </w:rPr>
              <w:t>Trọng số phạt khi xếp ca rơi vào ngày nghỉ mong muốn hoặc khung giờ lệch ưu tiên</w:t>
            </w:r>
          </w:p>
        </w:tc>
      </w:tr>
      <w:tr>
        <w:tc>
          <w:tcPr>
            <w:tcW w:type="dxa" w:w="2412"/>
            <w:tcMar>
              <w:top w:w="70" w:type="dxa"/>
              <w:bottom w:w="7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weightRest</w:t>
            </w:r>
          </w:p>
        </w:tc>
        <w:tc>
          <w:tcPr>
            <w:tcW w:type="dxa" w:w="2412"/>
            <w:tcMar>
              <w:top w:w="70" w:type="dxa"/>
              <w:bottom w:w="7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double</w:t>
            </w:r>
          </w:p>
        </w:tc>
        <w:tc>
          <w:tcPr>
            <w:tcW w:type="dxa" w:w="2412"/>
            <w:tcMar>
              <w:top w:w="70" w:type="dxa"/>
              <w:bottom w:w="7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w:t>
            </w:r>
          </w:p>
        </w:tc>
        <w:tc>
          <w:tcPr>
            <w:tcW w:type="dxa" w:w="2412"/>
            <w:tcMar>
              <w:top w:w="70" w:type="dxa"/>
              <w:bottom w:w="7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Trọng số khuyến khích dãn cách nghỉ phục hồi thể lực dôi dư so với mức tối thiểu</w:t>
            </w:r>
          </w:p>
        </w:tc>
      </w:tr>
      <w:tr>
        <w:tc>
          <w:tcPr>
            <w:tcW w:type="dxa" w:w="2412"/>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sz w:val="18"/>
              </w:rPr>
              <w:t>weightEfficiency</w:t>
            </w:r>
          </w:p>
        </w:tc>
        <w:tc>
          <w:tcPr>
            <w:tcW w:type="dxa" w:w="2412"/>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sz w:val="18"/>
              </w:rPr>
              <w:t>double</w:t>
            </w:r>
          </w:p>
        </w:tc>
        <w:tc>
          <w:tcPr>
            <w:tcW w:type="dxa" w:w="2412"/>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sz w:val="18"/>
              </w:rPr>
              <w:t>2.0</w:t>
            </w:r>
          </w:p>
        </w:tc>
        <w:tc>
          <w:tcPr>
            <w:tcW w:type="dxa" w:w="2412"/>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sz w:val="18"/>
              </w:rPr>
              <w:t>Trọng số ưu tiên nhân viên có hệ số hiệu suất chuyên môn vị trí cao</w:t>
            </w:r>
          </w:p>
        </w:tc>
      </w:tr>
    </w:tbl>
    <w:p/>
    <w:p>
      <w:pPr>
        <w:pStyle w:val="Heading1"/>
      </w:pPr>
      <w:r>
        <w:t>5. Dữ liệu thử nghiệm sử dụng</w:t>
      </w:r>
    </w:p>
    <w:p>
      <w:r>
        <w:rPr>
          <w:rFonts w:ascii="Arial" w:hAnsi="Arial"/>
          <w:sz w:val="21"/>
        </w:rPr>
        <w:t>Để đảm bảo tính khách quan và khoa học, thuật toán CAMC-Greedy đã được kiểm thử toàn diện trên các tập dữ liệu chuẩn đồng nhất với các thuật toán SA, GA và Hybrid trong hệ thống:</w:t>
      </w:r>
    </w:p>
    <w:p>
      <w:pPr>
        <w:pStyle w:val="ListParagraph"/>
      </w:pPr>
      <w:r>
        <w:rPr>
          <w:rFonts w:ascii="Arial" w:hAnsi="Arial"/>
          <w:b/>
          <w:color w:val="1E4D78"/>
          <w:sz w:val="20"/>
        </w:rPr>
        <w:t xml:space="preserve">Bộ dữ liệu Small (Quy mô nhỏ): </w:t>
      </w:r>
      <w:r>
        <w:rPr>
          <w:rFonts w:ascii="Arial" w:hAnsi="Arial"/>
          <w:color w:val="1E293B"/>
          <w:sz w:val="20"/>
        </w:rPr>
        <w:t>Gồm 10 nhân viên, 18 ca làm việc (3 ca/ngày trong 6 ngày, mỗi ca yêu cầu 1 nhân viên). Dùng để kiểm tra tính chính xác của các ràng buộc biên cơ bản.</w:t>
      </w:r>
    </w:p>
    <w:p>
      <w:pPr>
        <w:pStyle w:val="ListParagraph"/>
      </w:pPr>
      <w:r>
        <w:rPr>
          <w:rFonts w:ascii="Arial" w:hAnsi="Arial"/>
          <w:b/>
          <w:color w:val="1E4D78"/>
          <w:sz w:val="20"/>
        </w:rPr>
        <w:t xml:space="preserve">Bộ dữ liệu Medium (Quy mô vừa): </w:t>
      </w:r>
      <w:r>
        <w:rPr>
          <w:rFonts w:ascii="Arial" w:hAnsi="Arial"/>
          <w:color w:val="1E293B"/>
          <w:sz w:val="20"/>
        </w:rPr>
        <w:t>Gồm 30 nhân viên, 42 ca làm việc (3 ca/ngày trong 14 ngày, mỗi ca yêu cầu 2 nhân viên). Đánh giá khả năng phân bổ nhân sự và dãn cách ca khi tải công việc tăng lên.</w:t>
      </w:r>
    </w:p>
    <w:p>
      <w:pPr>
        <w:pStyle w:val="ListParagraph"/>
      </w:pPr>
      <w:r>
        <w:rPr>
          <w:rFonts w:ascii="Arial" w:hAnsi="Arial"/>
          <w:b/>
          <w:color w:val="1E4D78"/>
          <w:sz w:val="20"/>
        </w:rPr>
        <w:t xml:space="preserve">Bộ dữ liệu Large (Quy mô lớn): </w:t>
      </w:r>
      <w:r>
        <w:rPr>
          <w:rFonts w:ascii="Arial" w:hAnsi="Arial"/>
          <w:color w:val="1E293B"/>
          <w:sz w:val="20"/>
        </w:rPr>
        <w:t>Gồm 100 nhân viên, 84 ca làm việc (3 ca/ngày trong 28 ngày, mỗi ca yêu cầu 3 nhân viên). Đánh giá áp lực tính toán, tốc độ thực thi và độ ổn định của giải thuật khi không gian tìm kiếm bùng nổ.</w:t>
      </w:r>
    </w:p>
    <w:p>
      <w:pPr>
        <w:pStyle w:val="ListParagraph"/>
      </w:pPr>
      <w:r>
        <w:rPr>
          <w:rFonts w:ascii="Arial" w:hAnsi="Arial"/>
          <w:b/>
          <w:color w:val="1E4D78"/>
          <w:sz w:val="20"/>
        </w:rPr>
        <w:t xml:space="preserve">Bộ dữ liệu SeedData thực tế của hệ thống: </w:t>
      </w:r>
      <w:r>
        <w:rPr>
          <w:rFonts w:ascii="Arial" w:hAnsi="Arial"/>
          <w:color w:val="1E293B"/>
          <w:sz w:val="20"/>
        </w:rPr>
        <w:t>Gồm 200 nhân viên và 200 ca làm việc đa công ty (c1, c2), đa phòng ban (d1, d2, d3), đa vị trí (p1, p2) và tích hợp hệ thống chấm công FaceAttendance.</w:t>
      </w:r>
    </w:p>
    <w:p>
      <w:pPr>
        <w:pStyle w:val="ListParagraph"/>
      </w:pPr>
      <w:r>
        <w:rPr>
          <w:rFonts w:ascii="Arial" w:hAnsi="Arial"/>
          <w:b/>
          <w:color w:val="1E4D78"/>
          <w:sz w:val="20"/>
        </w:rPr>
        <w:t xml:space="preserve">Các ca kiểm thử biên đặc biệt (Boundary Test Cases): </w:t>
      </w:r>
      <w:r>
        <w:rPr>
          <w:rFonts w:ascii="Arial" w:hAnsi="Arial"/>
          <w:color w:val="1E293B"/>
          <w:sz w:val="20"/>
        </w:rPr>
        <w:t xml:space="preserve">  • Ca qua đêm: StartDate lúc 22:00 hôm trước và EndDate lúc 06:00 sáng hôm sau.</w:t>
        <w:br/>
        <w:t xml:space="preserve">  • Ràng buộc nghỉ phép: Nhân viên có đơn nghỉ phép hợp lệ trùng với ngày bắt đầu ca.</w:t>
        <w:br/>
        <w:t xml:space="preserve">  • Ràng buộc trần giờ tuần: Nhân viên đã chạm ngưỡng 40 giờ/tuần không được nhận thêm ca.</w:t>
        <w:br/>
        <w:t xml:space="preserve">  • Ràng buộc thời gian nghỉ: Hai ca liên tiếp chỉ cách nhau 2 giờ (vi phạm minRestHours = 8h).</w:t>
      </w:r>
    </w:p>
    <w:p>
      <w:pPr>
        <w:pStyle w:val="Heading1"/>
      </w:pPr>
      <w:r>
        <w:t>6. Kết quả thực nghiệm</w:t>
      </w:r>
    </w:p>
    <w:p>
      <w:r>
        <w:rPr>
          <w:rFonts w:ascii="Arial" w:hAnsi="Arial"/>
          <w:sz w:val="21"/>
        </w:rPr>
        <w:t>Bảng số liệu THẬT thu thập từ 30 lần chạy lặp độc lập trên 3 quy mô bộ dữ liệu Small, Medium, Large bằng công cụ kiểm thử tự động (Unit Test Runner):</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tcMar>
              <w:top w:w="80" w:type="dxa"/>
              <w:bottom w:w="80" w:type="dxa"/>
              <w:left w:w="120" w:type="dxa"/>
              <w:right w:w="120" w:type="dxa"/>
            </w:tcMar>
            <w:shd w:fill="1E4D78"/>
          </w:tcPr>
          <w:p>
            <w:pPr>
              <w:jc w:val="left"/>
            </w:pPr>
            <w:r>
              <w:rPr>
                <w:rFonts w:ascii="Arial" w:hAnsi="Arial"/>
                <w:b/>
                <w:color w:val="FFFFFF"/>
                <w:sz w:val="19"/>
              </w:rPr>
              <w:t>Bộ dữ liệu</w:t>
            </w:r>
          </w:p>
        </w:tc>
        <w:tc>
          <w:tcPr>
            <w:tcW w:type="dxa" w:w="1930"/>
            <w:tcMar>
              <w:top w:w="80" w:type="dxa"/>
              <w:bottom w:w="80" w:type="dxa"/>
              <w:left w:w="120" w:type="dxa"/>
              <w:right w:w="120" w:type="dxa"/>
            </w:tcMar>
            <w:shd w:fill="1E4D78"/>
          </w:tcPr>
          <w:p>
            <w:pPr>
              <w:jc w:val="center"/>
            </w:pPr>
            <w:r>
              <w:rPr>
                <w:rFonts w:ascii="Arial" w:hAnsi="Arial"/>
                <w:b/>
                <w:color w:val="FFFFFF"/>
                <w:sz w:val="19"/>
              </w:rPr>
              <w:t>Thời gian chạy TB (ms)</w:t>
            </w:r>
          </w:p>
        </w:tc>
        <w:tc>
          <w:tcPr>
            <w:tcW w:type="dxa" w:w="1930"/>
            <w:tcMar>
              <w:top w:w="80" w:type="dxa"/>
              <w:bottom w:w="80" w:type="dxa"/>
              <w:left w:w="120" w:type="dxa"/>
              <w:right w:w="120" w:type="dxa"/>
            </w:tcMar>
            <w:shd w:fill="1E4D78"/>
          </w:tcPr>
          <w:p>
            <w:pPr>
              <w:jc w:val="center"/>
            </w:pPr>
            <w:r>
              <w:rPr>
                <w:rFonts w:ascii="Arial" w:hAnsi="Arial"/>
                <w:b/>
                <w:color w:val="FFFFFF"/>
                <w:sz w:val="19"/>
              </w:rPr>
              <w:t>Điểm phạt TB</w:t>
            </w:r>
          </w:p>
        </w:tc>
        <w:tc>
          <w:tcPr>
            <w:tcW w:type="dxa" w:w="1930"/>
            <w:tcMar>
              <w:top w:w="80" w:type="dxa"/>
              <w:bottom w:w="80" w:type="dxa"/>
              <w:left w:w="120" w:type="dxa"/>
              <w:right w:w="120" w:type="dxa"/>
            </w:tcMar>
            <w:shd w:fill="1E4D78"/>
          </w:tcPr>
          <w:p>
            <w:pPr>
              <w:jc w:val="center"/>
            </w:pPr>
            <w:r>
              <w:rPr>
                <w:rFonts w:ascii="Arial" w:hAnsi="Arial"/>
                <w:b/>
                <w:color w:val="FFFFFF"/>
                <w:sz w:val="19"/>
              </w:rPr>
              <w:t>Độ lệch chuẩn</w:t>
            </w:r>
          </w:p>
        </w:tc>
        <w:tc>
          <w:tcPr>
            <w:tcW w:type="dxa" w:w="1930"/>
            <w:tcMar>
              <w:top w:w="80" w:type="dxa"/>
              <w:bottom w:w="80" w:type="dxa"/>
              <w:left w:w="120" w:type="dxa"/>
              <w:right w:w="120" w:type="dxa"/>
            </w:tcMar>
            <w:shd w:fill="1E4D78"/>
          </w:tcPr>
          <w:p>
            <w:pPr>
              <w:jc w:val="center"/>
            </w:pPr>
            <w:r>
              <w:rPr>
                <w:rFonts w:ascii="Arial" w:hAnsi="Arial"/>
                <w:b/>
                <w:color w:val="FFFFFF"/>
                <w:sz w:val="19"/>
              </w:rPr>
              <w:t>% Ca đủ người TB</w:t>
            </w:r>
          </w:p>
        </w:tc>
      </w:tr>
      <w:tr>
        <w:tc>
          <w:tcPr>
            <w:tcW w:type="dxa" w:w="1930"/>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jc w:val="left"/>
            </w:pPr>
            <w:r>
              <w:rPr>
                <w:rFonts w:ascii="Arial" w:hAnsi="Arial"/>
                <w:sz w:val="19"/>
              </w:rPr>
              <w:t>Small (10 NV, 18 ca)</w:t>
            </w:r>
          </w:p>
        </w:tc>
        <w:tc>
          <w:tcPr>
            <w:tcW w:type="dxa" w:w="1930"/>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jc w:val="center"/>
            </w:pPr>
            <w:r>
              <w:rPr>
                <w:rFonts w:ascii="Arial" w:hAnsi="Arial"/>
                <w:sz w:val="19"/>
              </w:rPr>
              <w:t>1.87</w:t>
            </w:r>
          </w:p>
        </w:tc>
        <w:tc>
          <w:tcPr>
            <w:tcW w:type="dxa" w:w="1930"/>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jc w:val="center"/>
            </w:pPr>
            <w:r>
              <w:rPr>
                <w:rFonts w:ascii="Arial" w:hAnsi="Arial"/>
                <w:sz w:val="19"/>
              </w:rPr>
              <w:t>71.68</w:t>
            </w:r>
          </w:p>
        </w:tc>
        <w:tc>
          <w:tcPr>
            <w:tcW w:type="dxa" w:w="1930"/>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jc w:val="center"/>
            </w:pPr>
            <w:r>
              <w:rPr>
                <w:rFonts w:ascii="Arial" w:hAnsi="Arial"/>
                <w:sz w:val="19"/>
              </w:rPr>
              <w:t>0.00</w:t>
            </w:r>
          </w:p>
        </w:tc>
        <w:tc>
          <w:tcPr>
            <w:tcW w:type="dxa" w:w="1930"/>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jc w:val="center"/>
            </w:pPr>
            <w:r>
              <w:rPr>
                <w:rFonts w:ascii="Arial" w:hAnsi="Arial"/>
                <w:sz w:val="19"/>
              </w:rPr>
              <w:t>100.0%</w:t>
            </w:r>
          </w:p>
        </w:tc>
      </w:tr>
      <w:tr>
        <w:tc>
          <w:tcPr>
            <w:tcW w:type="dxa" w:w="1930"/>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sz w:val="19"/>
              </w:rPr>
              <w:t>Medium (30 NV, 42 ca)</w:t>
            </w:r>
          </w:p>
        </w:tc>
        <w:tc>
          <w:tcPr>
            <w:tcW w:type="dxa" w:w="1930"/>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sz w:val="19"/>
              </w:rPr>
              <w:t>1.17</w:t>
            </w:r>
          </w:p>
        </w:tc>
        <w:tc>
          <w:tcPr>
            <w:tcW w:type="dxa" w:w="1930"/>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sz w:val="19"/>
              </w:rPr>
              <w:t>20.48</w:t>
            </w:r>
          </w:p>
        </w:tc>
        <w:tc>
          <w:tcPr>
            <w:tcW w:type="dxa" w:w="1930"/>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sz w:val="19"/>
              </w:rPr>
              <w:t>0.00</w:t>
            </w:r>
          </w:p>
        </w:tc>
        <w:tc>
          <w:tcPr>
            <w:tcW w:type="dxa" w:w="1930"/>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sz w:val="19"/>
              </w:rPr>
              <w:t>100.0%</w:t>
            </w:r>
          </w:p>
        </w:tc>
      </w:tr>
      <w:tr>
        <w:tc>
          <w:tcPr>
            <w:tcW w:type="dxa" w:w="1930"/>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jc w:val="left"/>
            </w:pPr>
            <w:r>
              <w:rPr>
                <w:rFonts w:ascii="Arial" w:hAnsi="Arial"/>
                <w:sz w:val="19"/>
              </w:rPr>
              <w:t>Large (100 NV, 84 ca)</w:t>
            </w:r>
          </w:p>
        </w:tc>
        <w:tc>
          <w:tcPr>
            <w:tcW w:type="dxa" w:w="1930"/>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jc w:val="center"/>
            </w:pPr>
            <w:r>
              <w:rPr>
                <w:rFonts w:ascii="Arial" w:hAnsi="Arial"/>
                <w:sz w:val="19"/>
              </w:rPr>
              <w:t>2.57</w:t>
            </w:r>
          </w:p>
        </w:tc>
        <w:tc>
          <w:tcPr>
            <w:tcW w:type="dxa" w:w="1930"/>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jc w:val="center"/>
            </w:pPr>
            <w:r>
              <w:rPr>
                <w:rFonts w:ascii="Arial" w:hAnsi="Arial"/>
                <w:sz w:val="19"/>
              </w:rPr>
              <w:t>31.95</w:t>
            </w:r>
          </w:p>
        </w:tc>
        <w:tc>
          <w:tcPr>
            <w:tcW w:type="dxa" w:w="1930"/>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jc w:val="center"/>
            </w:pPr>
            <w:r>
              <w:rPr>
                <w:rFonts w:ascii="Arial" w:hAnsi="Arial"/>
                <w:sz w:val="19"/>
              </w:rPr>
              <w:t>0.00</w:t>
            </w:r>
          </w:p>
        </w:tc>
        <w:tc>
          <w:tcPr>
            <w:tcW w:type="dxa" w:w="1930"/>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jc w:val="center"/>
            </w:pPr>
            <w:r>
              <w:rPr>
                <w:rFonts w:ascii="Arial" w:hAnsi="Arial"/>
                <w:sz w:val="19"/>
              </w:rPr>
              <w:t>100.0%</w:t>
            </w:r>
          </w:p>
        </w:tc>
      </w:tr>
    </w:tbl>
    <w:p>
      <w:r>
        <w:rPr>
          <w:rFonts w:ascii="Arial" w:hAnsi="Arial"/>
          <w:color w:val="1E293B"/>
          <w:sz w:val="20"/>
        </w:rPr>
        <w:br/>
        <w:t>Phân tích ý nghĩa khoa học của kết quả thực nghiệm:</w:t>
        <w:br/>
        <w:t>1. Tỷ lệ đáp ứng ca tuyệt đối (100.0%): Nhờ Heuristic MRV sắp xếp ca theo mức độ khan hiếm ứng viên, 100% các ca trên cả 3 tập dữ liệu đều được phân công đủ người, không có ca nào bị thiếu nhân sự (UnfilledShifts = 0).</w:t>
        <w:br/>
        <w:t>2. Không vi phạm ràng buộc cứng (HardViolationsCount = 0): Cơ chế Hard-Feasibility Guard hoạt động chính xác 100%, hoàn toàn không có tình trạng nhân viên bị trùng giờ, thiếu giờ nghỉ hoặc quá trần giờ tuần.</w:t>
        <w:br/>
        <w:t>3. Tốc độ vượt trội (1.17ms - 2.57ms): So với Simulated Annealing (SA: 136ms - 234ms), Genetic Algorithm (GA: 150ms - 400ms) và Hybrid Solver (200ms - 500ms), CAMC-Greedy nhanh hơn từ 80 đến 150 lần, đáp ứng hoàn hảo yêu cầu tương tác thời gian thực trên giao diện người dùng.</w:t>
        <w:br/>
        <w:t>4. Độ lệch chuẩn tuyệt đối bằng 0.00: Do không chứa yếu tố ngẫu nhiên ngẫu nhiên hóa (stochasticity), thuật toán có tính tất định 100%, đảm bảo khả năng tái lập kết quả thực nghiệm hoàn toàn tin cậy trong các bài báo khoa học.</w:t>
      </w:r>
    </w:p>
    <w:p>
      <w:pPr>
        <w:pStyle w:val="Heading1"/>
      </w:pPr>
      <w:r>
        <w:t>7. Khó khăn gặp phải &amp; Giải pháp</w:t>
      </w:r>
    </w:p>
    <w:p>
      <w:r>
        <w:rPr>
          <w:rFonts w:ascii="Arial" w:hAnsi="Arial"/>
          <w:sz w:val="20"/>
        </w:rPr>
        <w:t>Bảng tổng hợp các vấn đề kỹ thuật và giải thuật phát sinh trong quá trình triển khai cùng giải pháp đã áp dụng:</w:t>
      </w:r>
    </w:p>
    <w:tbl>
      <w:tblPr>
        <w:tblW w:type="auto" w:w="0"/>
        <w:jc w:val="center"/>
        <w:tblLook w:firstColumn="1" w:firstRow="1" w:lastColumn="0" w:lastRow="0" w:noHBand="0" w:noVBand="1" w:val="04A0"/>
      </w:tblPr>
      <w:tblGrid>
        <w:gridCol w:w="4824"/>
        <w:gridCol w:w="4824"/>
      </w:tblGrid>
      <w:tr>
        <w:tc>
          <w:tcPr>
            <w:tcW w:type="dxa" w:w="4824"/>
            <w:tcMar>
              <w:top w:w="80" w:type="dxa"/>
              <w:bottom w:w="80" w:type="dxa"/>
              <w:left w:w="120" w:type="dxa"/>
              <w:right w:w="120" w:type="dxa"/>
            </w:tcMar>
            <w:shd w:fill="1E4D78"/>
          </w:tcPr>
          <w:p>
            <w:r>
              <w:rPr>
                <w:rFonts w:ascii="Arial" w:hAnsi="Arial"/>
                <w:b/>
                <w:color w:val="FFFFFF"/>
                <w:sz w:val="19"/>
              </w:rPr>
              <w:t>Vấn đề gặp phải</w:t>
            </w:r>
          </w:p>
        </w:tc>
        <w:tc>
          <w:tcPr>
            <w:tcW w:type="dxa" w:w="4824"/>
            <w:tcMar>
              <w:top w:w="80" w:type="dxa"/>
              <w:bottom w:w="80" w:type="dxa"/>
              <w:left w:w="120" w:type="dxa"/>
              <w:right w:w="120" w:type="dxa"/>
            </w:tcMar>
            <w:shd w:fill="1E4D78"/>
          </w:tcPr>
          <w:p>
            <w:r>
              <w:rPr>
                <w:rFonts w:ascii="Arial" w:hAnsi="Arial"/>
                <w:b/>
                <w:color w:val="FFFFFF"/>
                <w:sz w:val="19"/>
              </w:rPr>
              <w:t>Giải pháp đã áp dụng</w:t>
            </w:r>
          </w:p>
        </w:tc>
      </w:tr>
      <w:tr>
        <w:tc>
          <w:tcPr>
            <w:tcW w:type="dxa" w:w="4824"/>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r>
              <w:rPr>
                <w:rFonts w:ascii="Arial" w:hAnsi="Arial"/>
                <w:sz w:val="19"/>
              </w:rPr>
              <w:t>Xử lý ca làm việc ban đêm qua ngày mới (EndDate &lt;= StartDate) làm sai lệch phép tính số giờ làm việc và thời gian nghỉ giữa 2 ca liền kề.</w:t>
            </w:r>
          </w:p>
        </w:tc>
        <w:tc>
          <w:tcPr>
            <w:tcW w:type="dxa" w:w="4824"/>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r>
              <w:rPr>
                <w:rFonts w:ascii="Arial" w:hAnsi="Arial"/>
                <w:sz w:val="19"/>
              </w:rPr>
              <w:t>Xây dựng module NormalizeInterval: tự động nhận diện nếu EndDate &lt;= StartDate thì cộng thêm 1 ngày (24 giờ) vào EndDate, đảm bảo tính toán thời lượng ca và khoảng cách nghỉ phục hồi (RestHours) luôn chính xác.</w:t>
            </w:r>
          </w:p>
        </w:tc>
      </w:tr>
      <w:tr>
        <w:tc>
          <w:tcPr>
            <w:tcW w:type="dxa" w:w="4824"/>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r>
              <w:rPr>
                <w:rFonts w:ascii="Arial" w:hAnsi="Arial"/>
                <w:sz w:val="19"/>
              </w:rPr>
              <w:t>Greedy cổ điển hay rơi vào bẫy 'cháy ca' ở cuối kỳ do các nhân viên giỏi bị phân công hết cho các ca sớm, dẫn tới bùng nổ điểm phạt thiếu người.</w:t>
            </w:r>
          </w:p>
        </w:tc>
        <w:tc>
          <w:tcPr>
            <w:tcW w:type="dxa" w:w="4824"/>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r>
              <w:rPr>
                <w:rFonts w:ascii="Arial" w:hAnsi="Arial"/>
                <w:sz w:val="19"/>
              </w:rPr>
              <w:t>Áp dụng Heuristic MRV (Most Constrained Variable First) để ưu tiên giải quyết các ca khó nhất trước, kết hợp hàm chi phí biên phạt nặng tỷ lệ giờ làm lũy kế của nhân viên để ép thuật toán san sẻ tải cho các nhân viên khác.</w:t>
            </w:r>
          </w:p>
        </w:tc>
      </w:tr>
      <w:tr>
        <w:tc>
          <w:tcPr>
            <w:tcW w:type="dxa" w:w="4824"/>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r>
              <w:rPr>
                <w:rFonts w:ascii="Arial" w:hAnsi="Arial"/>
                <w:sz w:val="19"/>
              </w:rPr>
              <w:t>Tốc độ kiểm tra ràng buộc giảm sút khi số lượng nhân viên và ca tăng lên hàng trăm đối tượng trong cơ sở dữ liệu thực tế.</w:t>
            </w:r>
          </w:p>
        </w:tc>
        <w:tc>
          <w:tcPr>
            <w:tcW w:type="dxa" w:w="4824"/>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r>
              <w:rPr>
                <w:rFonts w:ascii="Arial" w:hAnsi="Arial"/>
                <w:sz w:val="19"/>
              </w:rPr>
              <w:t>Thiết kế cấu trúc dữ liệu tối ưu: Tiền lọc (Pre-filter) ứng viên theo bảng băm (Dictionary) theo chuyên môn; lưu trữ lịch sử gán dưới dạng mảng khoảng thời gian (Intervals) thu gọn để phép kiểm tra trùng giờ và giờ nghỉ đạt độ phức tạp O(k) với k &lt;&lt; N.</w:t>
            </w:r>
          </w:p>
        </w:tc>
      </w:tr>
    </w:tbl>
    <w:p/>
    <w:p>
      <w:pPr>
        <w:pStyle w:val="Heading1"/>
      </w:pPr>
      <w:r>
        <w:t>8. Kết luận cá nhân</w:t>
      </w:r>
    </w:p>
    <w:p>
      <w:r>
        <w:rPr>
          <w:rFonts w:ascii="Arial" w:hAnsi="Arial"/>
          <w:color w:val="1E293B"/>
          <w:sz w:val="20"/>
        </w:rPr>
        <w:t>1. Đánh giá ưu điểm:</w:t>
        <w:br/>
        <w:t xml:space="preserve">  • Tốc độ vô địch: Thực thi trong 1.17ms - 2.57ms, phù hợp với các ứng dụng xếp lịch tương tác thời gian thực hoặc gợi ý phân công tức thì.</w:t>
        <w:br/>
        <w:t xml:space="preserve">  • Độ tin cậy cao: Đảm bảo 100% không vi phạm bất kỳ ràng buộc cứng nào của nghiệp vụ.</w:t>
        <w:br/>
        <w:t xml:space="preserve">  • Tính tất định tuyệt đối: Cho ra kết quả duy nhất, nhất quán, là thước đo chuẩn mực (Baseline Benchmark) cho toàn bộ nghiên cứu của nhóm.</w:t>
        <w:br/>
        <w:br/>
        <w:t>2. Hạn chế còn tồn tại:</w:t>
        <w:br/>
        <w:t xml:space="preserve">  • Do bản chất của giải thuật Tham lam là đưa ra quyết định tối ưu cục bộ tại từng bước (local optimal choice), thuật toán chưa thể tối ưu hóa toàn cục hoàn hảo đối với các ràng buộc mềm phức tạp (như tối đa hóa 100% nguyện vọng cá nhân) so với các giải thuật tìm kiếm sâu như Hybrid hay GA khi bài toán có không gian nghiệm quá lớn.</w:t>
        <w:br/>
        <w:br/>
        <w:t>3. Hướng cải tiến nếu có thêm thời gian:</w:t>
        <w:br/>
        <w:t xml:space="preserve">  • Phát triển biến thể GRASP (Greedy Randomized Adaptive Search Procedure): Kết hợp pha ngẫu nhiên có kiểm soát (Restricted Candidate List - RCL) và tìm kiếm cục bộ nhanh để cải thiện điểm số ràng buộc mềm.</w:t>
        <w:br/>
        <w:t xml:space="preserve">  • Tích hợp làm nghiệm hạt giống (Initial Seed Solution): Cung cấp nghiệm xuất phát của CAMC-Greedy cho thuật toán Di truyền (GA) và Luyện kim (SA) nhằm rút ngắn thời gian hội tụ của các thuật toán tiến hóa từ hàng trăm thế hệ xuống chỉ còn vài thế hệ.</w:t>
      </w:r>
    </w:p>
    <w:p>
      <w:pPr>
        <w:pStyle w:val="Heading1"/>
      </w:pPr>
      <w:r>
        <w:t>9. Tài liệu tham khảo</w:t>
      </w:r>
    </w:p>
    <w:p>
      <w:r>
        <w:rPr>
          <w:rFonts w:ascii="Arial" w:hAnsi="Arial"/>
          <w:i/>
          <w:color w:val="64748B"/>
          <w:sz w:val="19"/>
        </w:rPr>
        <w:t>Danh mục tài liệu tham khảo theo định dạng chuẩn trích dẫn khoa học:</w:t>
      </w:r>
    </w:p>
    <w:p>
      <w:r>
        <w:rPr>
          <w:rFonts w:ascii="Arial" w:hAnsi="Arial"/>
          <w:color w:val="1E293B"/>
          <w:sz w:val="19"/>
        </w:rPr>
        <w:t>[1] Burke, E. K., De Causmaecker, P., Vanden Berghe, G., &amp; Van Landeghem, H. (2004). The state of the art of nurse rostering. Journal of Scheduling, 7(6), 441-499.</w:t>
      </w:r>
    </w:p>
    <w:p>
      <w:r>
        <w:rPr>
          <w:rFonts w:ascii="Arial" w:hAnsi="Arial"/>
          <w:color w:val="1E293B"/>
          <w:sz w:val="19"/>
        </w:rPr>
        <w:t>[2] Ernst, A. T., Jiang, H., Krishnamoorthy, M., &amp; Sier, D. (2004). Staff scheduling and rostering: A review of applications, methods and models. European Journal of Operational Research, 153(1), 3-27.</w:t>
      </w:r>
    </w:p>
    <w:p>
      <w:r>
        <w:rPr>
          <w:rFonts w:ascii="Arial" w:hAnsi="Arial"/>
          <w:color w:val="1E293B"/>
          <w:sz w:val="19"/>
        </w:rPr>
        <w:t>[3] Russell, S., &amp; Norvig, P. (2020). Artificial Intelligence: A Modern Approach (4th ed.). Pearson. (Chương 6: Constraint Satisfaction Problems - Heuristic MRV).</w:t>
      </w:r>
    </w:p>
    <w:p>
      <w:r>
        <w:rPr>
          <w:rFonts w:ascii="Arial" w:hAnsi="Arial"/>
          <w:color w:val="1E293B"/>
          <w:sz w:val="19"/>
        </w:rPr>
        <w:t>[4] Van den Bergh, J., Beliën, J., De Bruecker, P., Demeulemeester, E., &amp; De Boeck, L. (2013). Personnel scheduling: A literature review. European Journal of Operational Research, 226(3), 367-385.</w:t>
      </w:r>
    </w:p>
    <w:p>
      <w:r>
        <w:rPr>
          <w:rFonts w:ascii="Arial" w:hAnsi="Arial"/>
          <w:color w:val="1E293B"/>
          <w:sz w:val="19"/>
        </w:rPr>
        <w:t>[5] De Causmaecker, P., &amp; Vanden Berghe, G. (2005). Relaxations of nurse rostering problems. In International Workshop on Practice and Theory of Automated Timetabling (pp. 51-64). Springer.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A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4D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