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71FDC7" w14:textId="77777777" w:rsidR="00000000" w:rsidRDefault="00000000">
      <w:pPr>
        <w:shd w:val="clear" w:color="auto" w:fill="F8F9FA"/>
        <w:jc w:val="center"/>
        <w:outlineLvl w:val="1"/>
        <w:divId w:val="592863123"/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</w:rPr>
        <w:t>MOPH Cybersecurity Assessment - 3-Year Timeline</w:t>
      </w:r>
    </w:p>
    <w:p w14:paraId="5921A338" w14:textId="77777777" w:rsidR="00000000" w:rsidRDefault="00000000">
      <w:pPr>
        <w:pStyle w:val="Heading2"/>
        <w:shd w:val="clear" w:color="auto" w:fill="F8F9FA"/>
        <w:jc w:val="center"/>
        <w:divId w:val="592863123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Detailed Quarterly Execution Schedule (2025-2027)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00000" w14:paraId="237389C9" w14:textId="77777777">
        <w:trPr>
          <w:divId w:val="1333072473"/>
          <w:tblHeader/>
        </w:trPr>
        <w:tc>
          <w:tcPr>
            <w:tcW w:w="0" w:type="auto"/>
            <w:vMerge w:val="restart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F72B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Assessment Activity</w:t>
            </w:r>
          </w:p>
        </w:tc>
        <w:tc>
          <w:tcPr>
            <w:tcW w:w="0" w:type="auto"/>
            <w:gridSpan w:val="4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0820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2025 (Year 1)</w:t>
            </w:r>
          </w:p>
        </w:tc>
        <w:tc>
          <w:tcPr>
            <w:tcW w:w="0" w:type="auto"/>
            <w:gridSpan w:val="4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89B7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2026 (Year 2)</w:t>
            </w:r>
          </w:p>
        </w:tc>
        <w:tc>
          <w:tcPr>
            <w:tcW w:w="0" w:type="auto"/>
            <w:gridSpan w:val="4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E6F3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0C6B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2027 (Year 3)</w:t>
            </w:r>
          </w:p>
        </w:tc>
      </w:tr>
      <w:tr w:rsidR="00000000" w14:paraId="796C93F0" w14:textId="77777777">
        <w:trPr>
          <w:divId w:val="1333072473"/>
          <w:tblHeader/>
        </w:trPr>
        <w:tc>
          <w:tcPr>
            <w:tcW w:w="0" w:type="auto"/>
            <w:vMerge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vAlign w:val="center"/>
            <w:hideMark/>
          </w:tcPr>
          <w:p w14:paraId="2279A5CF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ABC1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Q1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F43B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Q2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53FC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Q3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DC5E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Q4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449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Q1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6CB0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Q2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205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Q3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D7E0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Q4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992D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Q1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3EF8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Q2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775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Q3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5431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Q4</w:t>
            </w:r>
          </w:p>
        </w:tc>
      </w:tr>
      <w:tr w:rsidR="00000000" w14:paraId="18C7154D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44750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External Penetration Testing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(700 Public IPs)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9BE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F6F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31EF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8CCE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91FC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4935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7B7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DB49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8EC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20E5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774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5CB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420BCA9C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FAA0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Internal Penetration Testing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(3,000 Internal IPs)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382D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A30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2381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E825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A9E4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6B8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5E4E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36B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8D9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06B7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7820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4F0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67D38F46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8A14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Wi-Fi Security Testing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(7 SSIDs Head Office)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116F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9FB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AF2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A24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FC84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3CB1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26BF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01A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478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A49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C3F4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4FA4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2AB87DDF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63D2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External Web Application Security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(100 Applications)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E3EA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5DAC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66C1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D94D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481F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B4DA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E6D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ACAE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EE7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ACF3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D068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FC80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73A63159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18DA3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API Security Assessment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(Black-box Testing)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4D7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220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750A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AB4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9A7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98E5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787A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49B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A31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660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3FF5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88C2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102A4BD5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01A78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ERP Security Assessment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(2 ERP Applications)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4403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14B6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6E08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0454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F85E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083C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234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71E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243A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E8A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04FF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7F6F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5FEE97C2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E5A6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lastRenderedPageBreak/>
              <w:t>Internal Web Application Security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(10 Applications)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5DEC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717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D3E0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1E9B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0C4E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02E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0CB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8B10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C823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003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163C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E61E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29B33D6B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DA32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Mobile Application Security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(3 Applications)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F9F8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14E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5B4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9FD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BD36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A761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BEC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28B4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670E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DBC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788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B53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1356B2A1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80E2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Configuration Review &amp; Hardening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(Up to 100 IPs)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4F28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8C32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3FCD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DB8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F44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13C0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7E80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C289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BB2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113D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30F0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5277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7B67063F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F9426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VoIP Security Assessment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(1 VoIP Network)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3181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3E7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732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93E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A04F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884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1814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A56B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977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BC84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E7AD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904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6380EEBC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89A9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Social Engineering Assessment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(2,000 Staff + Vendors)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8EC1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6041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1EF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B262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396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ED83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E37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72CA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820E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7CB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7EAB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9E7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0E2A2F0D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38D8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Source Code Review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(10 Apps - 1.5M LoC)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0CC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B92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B1A6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F0C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1084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A3A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A24A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6B3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6240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1B3C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9D36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FB33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0C331573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CDCF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Product Security Assurance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(Up to 2 Products)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27A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5CD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AD95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160C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BBC7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AF8C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6BD6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C69A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E6B6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B6E0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8656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6BAA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31C83D45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A9786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Risk Management Platform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(3,000 Assets - In-House)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3B2B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CEC4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2388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FD59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971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BD9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2974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67B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0D68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2E22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B5F7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3BE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</w:tr>
      <w:tr w:rsidR="00000000" w14:paraId="32FACDEC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356A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lastRenderedPageBreak/>
              <w:t>Detection and Response Testing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(Red Team Exercise)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1508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A2B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46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96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8E03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53C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F094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319B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760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FA284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A6FBB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D213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98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105D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RT</w:t>
            </w:r>
          </w:p>
        </w:tc>
      </w:tr>
      <w:tr w:rsidR="00000000" w14:paraId="39004489" w14:textId="77777777">
        <w:trPr>
          <w:divId w:val="133307247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A9A0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Clean Up Activities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br/>
              <w:t>(All Testing Activities)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3900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363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4397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61A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B64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EDF1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2CE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A429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397A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EBF7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10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2DB45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CAF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2A6A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â—</w:t>
            </w:r>
          </w:p>
        </w:tc>
      </w:tr>
    </w:tbl>
    <w:p w14:paraId="5A521CE0" w14:textId="77777777" w:rsidR="00000000" w:rsidRDefault="00000000">
      <w:pPr>
        <w:pStyle w:val="Heading3"/>
        <w:shd w:val="clear" w:color="auto" w:fill="F8F9FA"/>
        <w:spacing w:before="0" w:beforeAutospacing="0"/>
        <w:divId w:val="192283576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Timeline Legend:</w:t>
      </w:r>
    </w:p>
    <w:p w14:paraId="1B2AA6CD" w14:textId="77777777" w:rsidR="00000000" w:rsidRDefault="00000000">
      <w:pPr>
        <w:shd w:val="clear" w:color="auto" w:fill="F8F9FA"/>
        <w:divId w:val="440222803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FFFFFF"/>
          <w:shd w:val="clear" w:color="auto" w:fill="4CAF50"/>
        </w:rPr>
        <w:t>â—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</w:rPr>
        <w:t>Primary Execution</w:t>
      </w:r>
    </w:p>
    <w:p w14:paraId="4E4DCFC1" w14:textId="77777777" w:rsidR="00000000" w:rsidRDefault="00000000">
      <w:pPr>
        <w:shd w:val="clear" w:color="auto" w:fill="F8F9FA"/>
        <w:divId w:val="783041804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hd w:val="clear" w:color="auto" w:fill="FFC107"/>
        </w:rPr>
        <w:t>R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</w:rPr>
        <w:t>Review/Update</w:t>
      </w:r>
    </w:p>
    <w:p w14:paraId="1A27EB51" w14:textId="77777777" w:rsidR="00000000" w:rsidRDefault="00000000">
      <w:pPr>
        <w:shd w:val="clear" w:color="auto" w:fill="F8F9FA"/>
        <w:divId w:val="1901478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FFFFFF"/>
          <w:shd w:val="clear" w:color="auto" w:fill="2196F3"/>
        </w:rPr>
        <w:t>P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</w:rPr>
        <w:t>Planning Phase</w:t>
      </w:r>
    </w:p>
    <w:p w14:paraId="087B51DA" w14:textId="77777777" w:rsidR="00000000" w:rsidRDefault="00000000">
      <w:pPr>
        <w:shd w:val="clear" w:color="auto" w:fill="F8F9FA"/>
        <w:divId w:val="1930574812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FFFFFF"/>
          <w:shd w:val="clear" w:color="auto" w:fill="FF9800"/>
        </w:rPr>
        <w:t>RT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</w:rPr>
        <w:t>Retest Activities</w:t>
      </w:r>
    </w:p>
    <w:p w14:paraId="7DFFE059" w14:textId="77777777" w:rsidR="00000000" w:rsidRDefault="00000000">
      <w:pPr>
        <w:pStyle w:val="Heading4"/>
        <w:shd w:val="clear" w:color="auto" w:fill="F8F9FA"/>
        <w:spacing w:before="225" w:beforeAutospacing="0"/>
        <w:divId w:val="192283576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 Summary:</w:t>
      </w:r>
    </w:p>
    <w:p w14:paraId="5C4EB376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1922835761"/>
        <w:rPr>
          <w:rFonts w:ascii="Calibri" w:eastAsia="Times New Roman" w:hAnsi="Calibri" w:cs="Calibri"/>
          <w:color w:val="000000"/>
          <w:sz w:val="17"/>
          <w:szCs w:val="17"/>
        </w:rPr>
      </w:pPr>
      <w:r>
        <w:rPr>
          <w:rStyle w:val="Strong"/>
          <w:rFonts w:ascii="Calibri" w:eastAsia="Times New Roman" w:hAnsi="Calibri" w:cs="Calibri"/>
          <w:color w:val="000000"/>
          <w:sz w:val="17"/>
          <w:szCs w:val="17"/>
        </w:rPr>
        <w:t>Duration:</w:t>
      </w:r>
      <w:r>
        <w:rPr>
          <w:rFonts w:ascii="Calibri" w:eastAsia="Times New Roman" w:hAnsi="Calibri" w:cs="Calibri"/>
          <w:color w:val="000000"/>
          <w:sz w:val="17"/>
          <w:szCs w:val="17"/>
        </w:rPr>
        <w:t xml:space="preserve"> 36 Months (3 Years)</w:t>
      </w:r>
    </w:p>
    <w:p w14:paraId="52479CE5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1922835761"/>
        <w:rPr>
          <w:rFonts w:ascii="Calibri" w:eastAsia="Times New Roman" w:hAnsi="Calibri" w:cs="Calibri"/>
          <w:color w:val="000000"/>
          <w:sz w:val="17"/>
          <w:szCs w:val="17"/>
        </w:rPr>
      </w:pPr>
      <w:r>
        <w:rPr>
          <w:rStyle w:val="Strong"/>
          <w:rFonts w:ascii="Calibri" w:eastAsia="Times New Roman" w:hAnsi="Calibri" w:cs="Calibri"/>
          <w:color w:val="000000"/>
          <w:sz w:val="17"/>
          <w:szCs w:val="17"/>
        </w:rPr>
        <w:t>Quarterly Cycles:</w:t>
      </w:r>
      <w:r>
        <w:rPr>
          <w:rFonts w:ascii="Calibri" w:eastAsia="Times New Roman" w:hAnsi="Calibri" w:cs="Calibri"/>
          <w:color w:val="000000"/>
          <w:sz w:val="17"/>
          <w:szCs w:val="17"/>
        </w:rPr>
        <w:t xml:space="preserve"> 12 Complete Assessment Cycles</w:t>
      </w:r>
    </w:p>
    <w:p w14:paraId="205ACDAB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1922835761"/>
        <w:rPr>
          <w:rFonts w:ascii="Calibri" w:eastAsia="Times New Roman" w:hAnsi="Calibri" w:cs="Calibri"/>
          <w:color w:val="000000"/>
          <w:sz w:val="17"/>
          <w:szCs w:val="17"/>
        </w:rPr>
      </w:pPr>
      <w:r>
        <w:rPr>
          <w:rStyle w:val="Strong"/>
          <w:rFonts w:ascii="Calibri" w:eastAsia="Times New Roman" w:hAnsi="Calibri" w:cs="Calibri"/>
          <w:color w:val="000000"/>
          <w:sz w:val="17"/>
          <w:szCs w:val="17"/>
        </w:rPr>
        <w:t>Annual Major Reviews:</w:t>
      </w:r>
      <w:r>
        <w:rPr>
          <w:rFonts w:ascii="Calibri" w:eastAsia="Times New Roman" w:hAnsi="Calibri" w:cs="Calibri"/>
          <w:color w:val="000000"/>
          <w:sz w:val="17"/>
          <w:szCs w:val="17"/>
        </w:rPr>
        <w:t xml:space="preserve"> 3 Comprehensive Annual Assessments</w:t>
      </w:r>
    </w:p>
    <w:p w14:paraId="5690CFBE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1922835761"/>
        <w:rPr>
          <w:rFonts w:ascii="Calibri" w:eastAsia="Times New Roman" w:hAnsi="Calibri" w:cs="Calibri"/>
          <w:color w:val="000000"/>
          <w:sz w:val="17"/>
          <w:szCs w:val="17"/>
        </w:rPr>
      </w:pPr>
      <w:r>
        <w:rPr>
          <w:rStyle w:val="Strong"/>
          <w:rFonts w:ascii="Calibri" w:eastAsia="Times New Roman" w:hAnsi="Calibri" w:cs="Calibri"/>
          <w:color w:val="000000"/>
          <w:sz w:val="17"/>
          <w:szCs w:val="17"/>
        </w:rPr>
        <w:t>Continuous Activities:</w:t>
      </w:r>
      <w:r>
        <w:rPr>
          <w:rFonts w:ascii="Calibri" w:eastAsia="Times New Roman" w:hAnsi="Calibri" w:cs="Calibri"/>
          <w:color w:val="000000"/>
          <w:sz w:val="17"/>
          <w:szCs w:val="17"/>
        </w:rPr>
        <w:t xml:space="preserve"> Risk Management Platform, Training, Reporting</w:t>
      </w:r>
    </w:p>
    <w:p w14:paraId="0C7E95D3" w14:textId="77777777" w:rsidR="00D07DB8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1922835761"/>
        <w:rPr>
          <w:rFonts w:ascii="Calibri" w:eastAsia="Times New Roman" w:hAnsi="Calibri" w:cs="Calibri"/>
          <w:color w:val="000000"/>
          <w:sz w:val="17"/>
          <w:szCs w:val="17"/>
        </w:rPr>
      </w:pPr>
      <w:r>
        <w:rPr>
          <w:rStyle w:val="Strong"/>
          <w:rFonts w:ascii="Calibri" w:eastAsia="Times New Roman" w:hAnsi="Calibri" w:cs="Calibri"/>
          <w:color w:val="000000"/>
          <w:sz w:val="17"/>
          <w:szCs w:val="17"/>
        </w:rPr>
        <w:t>Final Deliverable:</w:t>
      </w:r>
      <w:r>
        <w:rPr>
          <w:rFonts w:ascii="Calibri" w:eastAsia="Times New Roman" w:hAnsi="Calibri" w:cs="Calibri"/>
          <w:color w:val="000000"/>
          <w:sz w:val="17"/>
          <w:szCs w:val="17"/>
        </w:rPr>
        <w:t xml:space="preserve"> Complete Security Posture Assessment &amp; Transition</w:t>
      </w:r>
    </w:p>
    <w:sectPr w:rsidR="00D0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F7E2B"/>
    <w:multiLevelType w:val="multilevel"/>
    <w:tmpl w:val="B52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21"/>
    <w:rsid w:val="003F5681"/>
    <w:rsid w:val="0071485D"/>
    <w:rsid w:val="00BD7821"/>
    <w:rsid w:val="00D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4748A"/>
  <w15:chartTrackingRefBased/>
  <w15:docId w15:val="{E4E069D0-387F-4F29-9235-B8004A9D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pBdr>
        <w:top w:val="single" w:sz="12" w:space="15" w:color="0066CC"/>
        <w:left w:val="single" w:sz="12" w:space="15" w:color="0066CC"/>
        <w:bottom w:val="single" w:sz="12" w:space="15" w:color="0066CC"/>
        <w:right w:val="single" w:sz="12" w:space="15" w:color="0066CC"/>
      </w:pBdr>
      <w:shd w:val="clear" w:color="auto" w:fill="F8F9FA"/>
      <w:spacing w:before="100" w:beforeAutospacing="1" w:after="450"/>
      <w:jc w:val="center"/>
    </w:pPr>
  </w:style>
  <w:style w:type="paragraph" w:customStyle="1" w:styleId="activity-name">
    <w:name w:val="activity-name"/>
    <w:basedOn w:val="Normal"/>
    <w:pPr>
      <w:shd w:val="clear" w:color="auto" w:fill="F0F8FF"/>
      <w:spacing w:before="100" w:beforeAutospacing="1" w:after="100" w:afterAutospacing="1"/>
    </w:pPr>
    <w:rPr>
      <w:b/>
      <w:bCs/>
    </w:rPr>
  </w:style>
  <w:style w:type="paragraph" w:customStyle="1" w:styleId="year-header">
    <w:name w:val="year-header"/>
    <w:basedOn w:val="Normal"/>
    <w:pPr>
      <w:shd w:val="clear" w:color="auto" w:fill="E6F3FF"/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active-cell">
    <w:name w:val="active-cell"/>
    <w:basedOn w:val="Normal"/>
    <w:pPr>
      <w:shd w:val="clear" w:color="auto" w:fill="4CAF50"/>
      <w:spacing w:before="100" w:beforeAutospacing="1" w:after="100" w:afterAutospacing="1"/>
    </w:pPr>
    <w:rPr>
      <w:b/>
      <w:bCs/>
      <w:color w:val="FFFFFF"/>
    </w:rPr>
  </w:style>
  <w:style w:type="paragraph" w:customStyle="1" w:styleId="partial-cell">
    <w:name w:val="partial-cell"/>
    <w:basedOn w:val="Normal"/>
    <w:pPr>
      <w:shd w:val="clear" w:color="auto" w:fill="FFC107"/>
      <w:spacing w:before="100" w:beforeAutospacing="1" w:after="100" w:afterAutospacing="1"/>
    </w:pPr>
    <w:rPr>
      <w:b/>
      <w:bCs/>
      <w:color w:val="000000"/>
    </w:rPr>
  </w:style>
  <w:style w:type="paragraph" w:customStyle="1" w:styleId="planning-cell">
    <w:name w:val="planning-cell"/>
    <w:basedOn w:val="Normal"/>
    <w:pPr>
      <w:shd w:val="clear" w:color="auto" w:fill="2196F3"/>
      <w:spacing w:before="100" w:beforeAutospacing="1" w:after="100" w:afterAutospacing="1"/>
    </w:pPr>
    <w:rPr>
      <w:b/>
      <w:bCs/>
      <w:color w:val="FFFFFF"/>
    </w:rPr>
  </w:style>
  <w:style w:type="paragraph" w:customStyle="1" w:styleId="retest-cell">
    <w:name w:val="retest-cell"/>
    <w:basedOn w:val="Normal"/>
    <w:pPr>
      <w:shd w:val="clear" w:color="auto" w:fill="FF9800"/>
      <w:spacing w:before="100" w:beforeAutospacing="1" w:after="100" w:afterAutospacing="1"/>
    </w:pPr>
    <w:rPr>
      <w:b/>
      <w:bCs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07247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123">
          <w:marLeft w:val="0"/>
          <w:marRight w:val="0"/>
          <w:marTop w:val="0"/>
          <w:marBottom w:val="450"/>
          <w:divBdr>
            <w:top w:val="single" w:sz="12" w:space="15" w:color="0066CC"/>
            <w:left w:val="single" w:sz="12" w:space="15" w:color="0066CC"/>
            <w:bottom w:val="single" w:sz="12" w:space="15" w:color="0066CC"/>
            <w:right w:val="single" w:sz="12" w:space="15" w:color="0066CC"/>
          </w:divBdr>
        </w:div>
        <w:div w:id="1922835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8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18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481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Quratulain Alam</dc:creator>
  <cp:keywords/>
  <dc:description/>
  <cp:lastModifiedBy>Quratulain Alam</cp:lastModifiedBy>
  <cp:revision>2</cp:revision>
  <dcterms:created xsi:type="dcterms:W3CDTF">2025-09-18T15:09:00Z</dcterms:created>
  <dcterms:modified xsi:type="dcterms:W3CDTF">2025-09-18T15:09:00Z</dcterms:modified>
</cp:coreProperties>
</file>