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9A32B" w14:textId="77777777" w:rsidR="0005608A" w:rsidRDefault="00000000">
      <w:pPr>
        <w:spacing w:before="600" w:after="40"/>
        <w:jc w:val="center"/>
      </w:pPr>
      <w:r>
        <w:rPr>
          <w:b/>
          <w:bCs/>
          <w:color w:val="1F6FB2"/>
          <w:sz w:val="44"/>
          <w:szCs w:val="44"/>
        </w:rPr>
        <w:t>Product Requirements Document</w:t>
      </w:r>
    </w:p>
    <w:p w14:paraId="18F57128" w14:textId="77777777" w:rsidR="0005608A" w:rsidRDefault="00000000">
      <w:pPr>
        <w:spacing w:after="300"/>
        <w:jc w:val="center"/>
      </w:pPr>
      <w:r>
        <w:rPr>
          <w:color w:val="555555"/>
          <w:sz w:val="28"/>
          <w:szCs w:val="28"/>
        </w:rPr>
        <w:t>ZATCA Compliance Middleware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5608A" w14:paraId="364A99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B86A" w14:textId="77777777" w:rsidR="0005608A" w:rsidRDefault="00000000">
            <w:r>
              <w:rPr>
                <w:b/>
                <w:bCs/>
              </w:rPr>
              <w:t>Document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8CC7" w14:textId="77777777" w:rsidR="0005608A" w:rsidRDefault="00000000">
            <w:r>
              <w:t>01 — Product Requirements Document</w:t>
            </w:r>
          </w:p>
        </w:tc>
      </w:tr>
      <w:tr w:rsidR="0005608A" w14:paraId="556142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F4CB" w14:textId="77777777" w:rsidR="0005608A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04DD" w14:textId="77777777" w:rsidR="0005608A" w:rsidRDefault="00000000">
            <w:r>
              <w:rPr>
                <w:b/>
                <w:bCs/>
                <w:color w:val="2E7D32"/>
              </w:rPr>
              <w:t>LOCKED (v1.0)</w:t>
            </w:r>
          </w:p>
        </w:tc>
      </w:tr>
      <w:tr w:rsidR="0005608A" w14:paraId="01B196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41DA" w14:textId="77777777" w:rsidR="0005608A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0556" w14:textId="7EA8F2A4" w:rsidR="0005608A" w:rsidRDefault="00000000">
            <w:r>
              <w:t>Convergent B</w:t>
            </w:r>
            <w:r w:rsidR="00FD408B">
              <w:t xml:space="preserve">usiness </w:t>
            </w:r>
            <w:r>
              <w:t>T</w:t>
            </w:r>
            <w:r w:rsidR="00FD408B">
              <w:t>echnologies</w:t>
            </w:r>
          </w:p>
        </w:tc>
      </w:tr>
      <w:tr w:rsidR="0005608A" w14:paraId="0C9E0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7EE5" w14:textId="77777777" w:rsidR="0005608A" w:rsidRDefault="00000000">
            <w:r>
              <w:rPr>
                <w:b/>
                <w:bCs/>
              </w:rPr>
              <w:t>Last updated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CFFD" w14:textId="77777777" w:rsidR="0005608A" w:rsidRDefault="00000000">
            <w:r>
              <w:t>2026-06-17</w:t>
            </w:r>
          </w:p>
        </w:tc>
      </w:tr>
      <w:tr w:rsidR="0005608A" w14:paraId="3C827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C2AC" w14:textId="77777777" w:rsidR="0005608A" w:rsidRDefault="00000000">
            <w:r>
              <w:rPr>
                <w:b/>
                <w:bCs/>
              </w:rPr>
              <w:t>Related docs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03C6" w14:textId="77777777" w:rsidR="0005608A" w:rsidRDefault="00000000">
            <w:r>
              <w:t>02-Actors-and-Capabilities, 03-Functional-Spec, 04-Flows, 05-Architecture, 06-ZATCA-Compliance-Reference</w:t>
            </w:r>
          </w:p>
        </w:tc>
      </w:tr>
    </w:tbl>
    <w:p w14:paraId="74ABFDF3" w14:textId="77777777" w:rsidR="0005608A" w:rsidRDefault="00000000">
      <w:pPr>
        <w:spacing w:before="160" w:after="120"/>
      </w:pPr>
      <w:r>
        <w:rPr>
          <w:i/>
          <w:iCs/>
          <w:color w:val="666666"/>
        </w:rPr>
        <w:t>This is the north-star document. Everything else traces back to it. If a feature isn’t serving something written here, question it.</w:t>
      </w:r>
    </w:p>
    <w:p w14:paraId="053A4A31" w14:textId="77777777" w:rsidR="0005608A" w:rsidRDefault="00000000">
      <w:pPr>
        <w:pStyle w:val="Heading1"/>
      </w:pPr>
      <w:r>
        <w:t>1. Problem Statement</w:t>
      </w:r>
    </w:p>
    <w:p w14:paraId="283CF778" w14:textId="77777777" w:rsidR="0005608A" w:rsidRDefault="00000000">
      <w:pPr>
        <w:spacing w:after="120"/>
      </w:pPr>
      <w:r>
        <w:t>In Saudi Arabia, ZATCA (Fatoora) e-invoicing is mandatory. Every business must generate invoices in a strict format (UBL 2.1 XML), cryptographically sign them, attach a compliant QR code, and submit each invoice to ZATCA for clearance (B2B) or reporting (B2C) — in real time.</w:t>
      </w:r>
    </w:p>
    <w:p w14:paraId="45EE7CE0" w14:textId="77777777" w:rsidR="0005608A" w:rsidRDefault="00000000">
      <w:pPr>
        <w:spacing w:after="120"/>
      </w:pPr>
      <w:r>
        <w:t>Doing this correctly is hard:</w:t>
      </w:r>
    </w:p>
    <w:p w14:paraId="693985BF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t>The cryptography (ECDSA secp256k1, SHA-256, XAdES, CSR/certificate lifecycle) is unforgiving.</w:t>
      </w:r>
    </w:p>
    <w:p w14:paraId="5ECCF190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t>The XML and business rules (BR-KSA) are detailed and easy to get wrong.</w:t>
      </w:r>
    </w:p>
    <w:p w14:paraId="775C00D8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mistake means legally invalid invoices</w:t>
      </w:r>
      <w:r>
        <w:t xml:space="preserve"> and rejected submissions.</w:t>
      </w:r>
    </w:p>
    <w:p w14:paraId="1F994F03" w14:textId="77777777" w:rsidR="0005608A" w:rsidRDefault="00000000">
      <w:pPr>
        <w:spacing w:after="120"/>
      </w:pPr>
      <w:r>
        <w:t>Most businesses already run an accounting system (Odoo, Zoho, Dynamics, Oracle, or a custom one). They do not want to change how they work, learn ZATCA internals, or maintain compliance plumbing themselves.</w:t>
      </w:r>
    </w:p>
    <w:p w14:paraId="5778F956" w14:textId="77777777" w:rsidR="0005608A" w:rsidRDefault="00000000">
      <w:pPr>
        <w:pStyle w:val="Heading1"/>
      </w:pPr>
      <w:r>
        <w:t>2. Vision</w:t>
      </w:r>
    </w:p>
    <w:p w14:paraId="57022A83" w14:textId="77777777" w:rsidR="0005608A" w:rsidRDefault="00000000">
      <w:pPr>
        <w:spacing w:after="120"/>
      </w:pPr>
      <w:r>
        <w:rPr>
          <w:b/>
          <w:bCs/>
          <w:sz w:val="24"/>
          <w:szCs w:val="24"/>
        </w:rPr>
        <w:t>Make any business in KSA ZATCA-compliant with zero hassle — without leaving the software they already use.</w:t>
      </w:r>
    </w:p>
    <w:p w14:paraId="0925CE5E" w14:textId="77777777" w:rsidR="0005608A" w:rsidRDefault="00000000">
      <w:pPr>
        <w:spacing w:after="120"/>
      </w:pPr>
      <w:r>
        <w:t>A business connects once. From then on, they keep invoicing exactly as before, and compliance happens automatically and invisibly in the background. Validated invoices flow right back to them.</w:t>
      </w:r>
    </w:p>
    <w:p w14:paraId="0A6A9969" w14:textId="77777777" w:rsidR="0005608A" w:rsidRDefault="00000000">
      <w:pPr>
        <w:pStyle w:val="Heading1"/>
      </w:pPr>
      <w:r>
        <w:t>3.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05608A" w14:paraId="561958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F988" w14:textId="77777777" w:rsidR="0005608A" w:rsidRDefault="00000000">
            <w:r>
              <w:rPr>
                <w:b/>
                <w:bCs/>
              </w:rPr>
              <w:t>G1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AC93" w14:textId="77777777" w:rsidR="0005608A" w:rsidRDefault="00000000">
            <w:r>
              <w:t>A business becomes ZATCA-compliant through a one-time setup, not an ongoing chore.</w:t>
            </w:r>
          </w:p>
        </w:tc>
      </w:tr>
      <w:tr w:rsidR="0005608A" w14:paraId="585452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2CB3" w14:textId="77777777" w:rsidR="0005608A" w:rsidRDefault="00000000">
            <w:r>
              <w:rPr>
                <w:b/>
                <w:bCs/>
              </w:rPr>
              <w:t>G2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8AE4" w14:textId="77777777" w:rsidR="0005608A" w:rsidRDefault="00000000">
            <w:r>
              <w:t>Compliance is automatic and transparent — the user’s normal invoicing workflow is never interrupted.</w:t>
            </w:r>
          </w:p>
        </w:tc>
      </w:tr>
      <w:tr w:rsidR="0005608A" w14:paraId="031ECE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9510" w14:textId="77777777" w:rsidR="0005608A" w:rsidRDefault="00000000">
            <w:r>
              <w:rPr>
                <w:b/>
                <w:bCs/>
              </w:rPr>
              <w:lastRenderedPageBreak/>
              <w:t>G3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6692" w14:textId="77777777" w:rsidR="0005608A" w:rsidRDefault="00000000">
            <w:r>
              <w:t>Support the software people already use — Odoo &amp; Zoho now; Dynamics 365, Oracle &amp; others later — via a pluggable adapter model.</w:t>
            </w:r>
          </w:p>
        </w:tc>
      </w:tr>
      <w:tr w:rsidR="0005608A" w14:paraId="7707F5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685B" w14:textId="77777777" w:rsidR="0005608A" w:rsidRDefault="00000000">
            <w:r>
              <w:rPr>
                <w:b/>
                <w:bCs/>
              </w:rPr>
              <w:t>G4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56E1" w14:textId="77777777" w:rsidR="0005608A" w:rsidRDefault="00000000">
            <w:r>
              <w:t>Serve businesses with custom/in-house accounting via a clean headless API.</w:t>
            </w:r>
          </w:p>
        </w:tc>
      </w:tr>
      <w:tr w:rsidR="0005608A" w14:paraId="306A79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3198" w14:textId="77777777" w:rsidR="0005608A" w:rsidRDefault="00000000">
            <w:r>
              <w:rPr>
                <w:b/>
                <w:bCs/>
              </w:rPr>
              <w:t>G5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5123" w14:textId="77777777" w:rsidR="0005608A" w:rsidRDefault="00000000">
            <w:r>
              <w:t>Serve the full KSA market: small businesses → enterprises → banks, on one platform.</w:t>
            </w:r>
          </w:p>
        </w:tc>
      </w:tr>
      <w:tr w:rsidR="0005608A" w14:paraId="15DA75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5FDA" w14:textId="77777777" w:rsidR="0005608A" w:rsidRDefault="00000000">
            <w:r>
              <w:rPr>
                <w:b/>
                <w:bCs/>
              </w:rPr>
              <w:t>G6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2B9F" w14:textId="77777777" w:rsidR="0005608A" w:rsidRDefault="00000000">
            <w:r>
              <w:t>Keep each customer’s data and ZATCA credentials securely isolated per registered profile.</w:t>
            </w:r>
          </w:p>
        </w:tc>
      </w:tr>
    </w:tbl>
    <w:p w14:paraId="78E0BAD1" w14:textId="77777777" w:rsidR="0005608A" w:rsidRDefault="00000000">
      <w:pPr>
        <w:pStyle w:val="Heading1"/>
      </w:pPr>
      <w:r>
        <w:t>4. Non-Goals (for v1)</w:t>
      </w:r>
    </w:p>
    <w:p w14:paraId="606BEFBE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Maker / Checker / Approver approval workflow</w:t>
      </w:r>
      <w:r>
        <w:t xml:space="preserve"> — explicitly deferred; may return later.</w:t>
      </w:r>
    </w:p>
    <w:p w14:paraId="27D923C4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Being an accounting system ourselves</w:t>
      </w:r>
      <w:r>
        <w:t xml:space="preserve"> — we are middleware, not a bookkeeping product.</w:t>
      </w:r>
    </w:p>
    <w:p w14:paraId="503DE494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Dynamics 365 / Oracle / other adapters</w:t>
      </w:r>
      <w:r>
        <w:t xml:space="preserve"> — architected for, but not built in v1.</w:t>
      </w:r>
    </w:p>
    <w:p w14:paraId="7176DB74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On-premise / per-customer deployments</w:t>
      </w:r>
      <w:r>
        <w:t xml:space="preserve"> — we run one shared cloud platform.</w:t>
      </w:r>
    </w:p>
    <w:p w14:paraId="77CDDB3C" w14:textId="77777777" w:rsidR="0005608A" w:rsidRDefault="00000000">
      <w:pPr>
        <w:pStyle w:val="Heading1"/>
      </w:pPr>
      <w:r>
        <w:t>5. Target Users / Market</w:t>
      </w:r>
    </w:p>
    <w:p w14:paraId="2F6094CB" w14:textId="77777777" w:rsidR="0005608A" w:rsidRDefault="00000000">
      <w:pPr>
        <w:spacing w:after="120"/>
      </w:pPr>
      <w:r>
        <w:rPr>
          <w:b/>
          <w:bCs/>
        </w:rPr>
        <w:t xml:space="preserve">Market: </w:t>
      </w:r>
      <w:r>
        <w:t>Kingdom of Saudi Arabia (KSA), ZATCA e-invoicing mandate.</w:t>
      </w:r>
    </w:p>
    <w:p w14:paraId="2738FD4C" w14:textId="77777777" w:rsidR="0005608A" w:rsidRDefault="00000000">
      <w:pPr>
        <w:spacing w:after="120"/>
      </w:pPr>
      <w:r>
        <w:rPr>
          <w:b/>
          <w:bCs/>
        </w:rPr>
        <w:t>Customer segments (one platform serves all):</w:t>
      </w:r>
    </w:p>
    <w:p w14:paraId="505A265F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Small businesses</w:t>
      </w:r>
      <w:r>
        <w:t xml:space="preserve"> — want it to “just work,” minimal setup.</w:t>
      </w:r>
    </w:p>
    <w:p w14:paraId="2D7EFB94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Enterprises</w:t>
      </w:r>
      <w:r>
        <w:t xml:space="preserve"> — higher volume, reliability, audit trail.</w:t>
      </w:r>
    </w:p>
    <w:p w14:paraId="7B863A46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Banks</w:t>
      </w:r>
      <w:r>
        <w:t xml:space="preserve"> — institutional integration, security, scale.</w:t>
      </w:r>
    </w:p>
    <w:p w14:paraId="677683A4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Software vendors / businesses with custom accounting</w:t>
      </w:r>
      <w:r>
        <w:t xml:space="preserve"> — consume our API directly.</w:t>
      </w:r>
    </w:p>
    <w:p w14:paraId="48A5204A" w14:textId="77777777" w:rsidR="0005608A" w:rsidRDefault="00000000">
      <w:pPr>
        <w:pStyle w:val="Heading1"/>
      </w:pPr>
      <w:r>
        <w:t>6. The Two Product Modes</w:t>
      </w:r>
    </w:p>
    <w:p w14:paraId="01D49E70" w14:textId="77777777" w:rsidR="0005608A" w:rsidRDefault="00000000">
      <w:pPr>
        <w:pStyle w:val="Heading2"/>
      </w:pPr>
      <w:r>
        <w:t>Mode A — Accounting Software Integration (primary)</w:t>
      </w:r>
    </w:p>
    <w:p w14:paraId="54CEE336" w14:textId="77777777" w:rsidR="0005608A" w:rsidRDefault="00000000">
      <w:pPr>
        <w:spacing w:after="120"/>
      </w:pPr>
      <w:r>
        <w:t>The flagship experience.</w:t>
      </w:r>
    </w:p>
    <w:p w14:paraId="1FEF7520" w14:textId="77777777" w:rsidR="0005608A" w:rsidRDefault="00000000">
      <w:pPr>
        <w:pStyle w:val="ListParagraph"/>
        <w:numPr>
          <w:ilvl w:val="0"/>
          <w:numId w:val="3"/>
        </w:numPr>
        <w:spacing w:after="60"/>
      </w:pPr>
      <w:r>
        <w:t>Business does a one-time configuration linking their accounting software (Odoo / Zoho), following our self-serve guides.</w:t>
      </w:r>
    </w:p>
    <w:p w14:paraId="406D0353" w14:textId="77777777" w:rsidR="0005608A" w:rsidRDefault="00000000">
      <w:pPr>
        <w:pStyle w:val="ListParagraph"/>
        <w:numPr>
          <w:ilvl w:val="0"/>
          <w:numId w:val="3"/>
        </w:numPr>
        <w:spacing w:after="60"/>
      </w:pPr>
      <w:r>
        <w:t>They keep working normally — creating invoices in their own software. Nothing else changes.</w:t>
      </w:r>
    </w:p>
    <w:p w14:paraId="3125518F" w14:textId="77777777" w:rsidR="0005608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Creating the invoice </w:t>
      </w:r>
      <w:r>
        <w:rPr>
          <w:b/>
          <w:bCs/>
        </w:rPr>
        <w:t>automatically triggers</w:t>
      </w:r>
      <w:r>
        <w:t xml:space="preserve"> the middleware. With no manual step on the middleware side, it builds the ZATCA XML, signs it, generates the QR, and submits to ZATCA (clearance or reporting).</w:t>
      </w:r>
    </w:p>
    <w:p w14:paraId="7FB69C95" w14:textId="77777777" w:rsidR="0005608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Everything flows back automatically into their accounting software</w:t>
      </w:r>
      <w:r>
        <w:t xml:space="preserve"> — the signed XML, the cleared/compliant PDF, the QR code, the ZATCA status, and the UUID — available right there with zero extra steps.</w:t>
      </w:r>
    </w:p>
    <w:p w14:paraId="1BA204D4" w14:textId="77777777" w:rsidR="0005608A" w:rsidRDefault="00000000">
      <w:pPr>
        <w:spacing w:after="120"/>
      </w:pPr>
      <w:r>
        <w:rPr>
          <w:i/>
          <w:iCs/>
          <w:color w:val="666666"/>
        </w:rPr>
        <w:t>The user experiences normal business as usual. They never have to open or operate the middleware. Compliance is fully automated and invisible.</w:t>
      </w:r>
    </w:p>
    <w:p w14:paraId="31A006DE" w14:textId="77777777" w:rsidR="0005608A" w:rsidRDefault="00000000">
      <w:pPr>
        <w:pStyle w:val="Heading2"/>
      </w:pPr>
      <w:r>
        <w:t>Mode B — Headless API (for custom systems)</w:t>
      </w:r>
    </w:p>
    <w:p w14:paraId="633441EC" w14:textId="77777777" w:rsidR="0005608A" w:rsidRDefault="00000000">
      <w:pPr>
        <w:spacing w:after="120"/>
      </w:pPr>
      <w:r>
        <w:t>For businesses running their own/custom accounting software.</w:t>
      </w:r>
    </w:p>
    <w:p w14:paraId="66D1DB51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t>We expose APIs that do everything Mode A does — onboard, generate, sign, clear/report, retrieve validated invoices.</w:t>
      </w:r>
    </w:p>
    <w:p w14:paraId="1BD79170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customer integrates our API into their own system.</w:t>
      </w:r>
    </w:p>
    <w:p w14:paraId="37F33574" w14:textId="77777777" w:rsidR="0005608A" w:rsidRDefault="00000000">
      <w:pPr>
        <w:pStyle w:val="Heading1"/>
      </w:pPr>
      <w:r>
        <w:t>7. Adapter Model</w:t>
      </w:r>
    </w:p>
    <w:p w14:paraId="08566CB9" w14:textId="77777777" w:rsidR="0005608A" w:rsidRDefault="00000000">
      <w:pPr>
        <w:spacing w:after="120"/>
      </w:pPr>
      <w:r>
        <w:t>The ZATCA compliance engine is built once and shared. Each accounting software is a swappable adapter on top of that shared core.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608A" w14:paraId="381CF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95B6EB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+-----------------------------------------+</w:t>
            </w:r>
          </w:p>
          <w:p w14:paraId="68973AAC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|         Shared ZATCA Core Engine        |</w:t>
            </w:r>
          </w:p>
          <w:p w14:paraId="0CB2C881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|  (XML . signing . QR . clearance/report)|</w:t>
            </w:r>
          </w:p>
          <w:p w14:paraId="41C2C58B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+-----------------------------------------+</w:t>
            </w:r>
          </w:p>
          <w:p w14:paraId="682146AD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^          ^           ^          ^</w:t>
            </w:r>
          </w:p>
          <w:p w14:paraId="5FA14B3D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|          |           |          |</w:t>
            </w:r>
          </w:p>
          <w:p w14:paraId="49D04EAF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+----+---+ +----+---+  +----+----+ +---+-----+</w:t>
            </w:r>
          </w:p>
          <w:p w14:paraId="57675C26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|  Odoo  | |  Zoho  |  | D365 *  | | Oracle *|   * = future</w:t>
            </w:r>
          </w:p>
          <w:p w14:paraId="33471012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| adapter| | adapter|  | adapter | | adapter |</w:t>
            </w:r>
          </w:p>
          <w:p w14:paraId="48405C74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+--------+ +--------+  +---------+ +---------+</w:t>
            </w:r>
          </w:p>
          <w:p w14:paraId="6827A6C7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^</w:t>
            </w:r>
          </w:p>
          <w:p w14:paraId="54361BEC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+----+------------------+</w:t>
            </w:r>
          </w:p>
          <w:p w14:paraId="3ADA21B3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| Headless API (Mode B) |  -&gt; custom / in-house accounting</w:t>
            </w:r>
          </w:p>
          <w:p w14:paraId="5D4B9842" w14:textId="77777777" w:rsidR="0005608A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+-----------------------+</w:t>
            </w:r>
          </w:p>
        </w:tc>
      </w:tr>
    </w:tbl>
    <w:p w14:paraId="4AA49DDF" w14:textId="77777777" w:rsidR="0005608A" w:rsidRDefault="00000000">
      <w:pPr>
        <w:spacing w:before="120"/>
      </w:pPr>
      <w:r>
        <w:t xml:space="preserve">Adding a new accounting software = </w:t>
      </w:r>
      <w:r>
        <w:rPr>
          <w:b/>
          <w:bCs/>
        </w:rPr>
        <w:t>writing a new adapter</w:t>
      </w:r>
      <w:r>
        <w:t>, not touching the compliance core.</w:t>
      </w:r>
    </w:p>
    <w:p w14:paraId="28495D4A" w14:textId="77777777" w:rsidR="0005608A" w:rsidRDefault="00000000">
      <w:pPr>
        <w:pStyle w:val="Heading1"/>
      </w:pPr>
      <w:r>
        <w:t>8. Tenancy &amp; Isolation</w:t>
      </w:r>
    </w:p>
    <w:p w14:paraId="218C9B3A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multi-tenant cloud deployment.</w:t>
      </w:r>
      <w:r>
        <w:t xml:space="preserve"> Anyone can register.</w:t>
      </w:r>
    </w:p>
    <w:p w14:paraId="2A2BD484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t>Each customer registers a profile (organization) in the middleware.</w:t>
      </w:r>
    </w:p>
    <w:p w14:paraId="6E849AA0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profile is the isolation boundary:</w:t>
      </w:r>
      <w:r>
        <w:t xml:space="preserve"> invoices, ZATCA credentials (private key, CSIDs), accounting-software connection config, and API keys are all scoped to it.</w:t>
      </w:r>
    </w:p>
    <w:p w14:paraId="702CE1AF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t>No customer can see or touch another customer’s data.</w:t>
      </w:r>
    </w:p>
    <w:p w14:paraId="04DAF6A1" w14:textId="77777777" w:rsidR="0005608A" w:rsidRDefault="00000000">
      <w:pPr>
        <w:pStyle w:val="Heading2"/>
      </w:pPr>
      <w:r>
        <w:t>8.1 Onboarding, Authentication &amp; Self-Service</w:t>
      </w:r>
    </w:p>
    <w:p w14:paraId="5F34424C" w14:textId="77777777" w:rsidR="0005608A" w:rsidRDefault="00000000">
      <w:pPr>
        <w:spacing w:after="120"/>
      </w:pPr>
      <w:r>
        <w:t xml:space="preserve">The product is </w:t>
      </w:r>
      <w:r>
        <w:rPr>
          <w:b/>
          <w:bCs/>
        </w:rPr>
        <w:t>self-service by default</w:t>
      </w:r>
      <w:r>
        <w:t xml:space="preserve"> — a customer can go from zero to compliant on their own.</w:t>
      </w:r>
    </w:p>
    <w:p w14:paraId="72E04635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 creation &amp; login:</w:t>
      </w:r>
      <w:r>
        <w:t xml:space="preserve"> via Google authentication — sign up and log in automatically; no manual account provisioning by us.</w:t>
      </w:r>
    </w:p>
    <w:p w14:paraId="20F24EF9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Guided setup:</w:t>
      </w:r>
      <w:r>
        <w:t xml:space="preserve"> complete self-serve guides, tutorials and documentation for:</w:t>
      </w:r>
    </w:p>
    <w:p w14:paraId="0ACC79B5" w14:textId="77777777" w:rsidR="0005608A" w:rsidRDefault="00000000">
      <w:pPr>
        <w:pStyle w:val="ListParagraph"/>
        <w:numPr>
          <w:ilvl w:val="1"/>
          <w:numId w:val="2"/>
        </w:numPr>
        <w:spacing w:after="60"/>
      </w:pPr>
      <w:r>
        <w:t>Connecting and configuring each accounting software (Odoo, Zoho).</w:t>
      </w:r>
    </w:p>
    <w:p w14:paraId="6165C0A9" w14:textId="77777777" w:rsidR="0005608A" w:rsidRDefault="00000000">
      <w:pPr>
        <w:pStyle w:val="ListParagraph"/>
        <w:numPr>
          <w:ilvl w:val="1"/>
          <w:numId w:val="2"/>
        </w:numPr>
        <w:spacing w:after="60"/>
      </w:pPr>
      <w:r>
        <w:t>Using the headless API for custom/in-house systems (Mode B).</w:t>
      </w:r>
    </w:p>
    <w:p w14:paraId="179CFE2C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Assisted help is optional:</w:t>
      </w:r>
      <w:r>
        <w:t xml:space="preserve"> we step in only if the customer asks. The default path requires no involvement from us.</w:t>
      </w:r>
    </w:p>
    <w:p w14:paraId="7CCF8B3D" w14:textId="77777777" w:rsidR="0005608A" w:rsidRDefault="00000000">
      <w:pPr>
        <w:pStyle w:val="Heading1"/>
      </w:pPr>
      <w:r>
        <w:t>9. Resolved Decisions (locked v1.0)</w:t>
      </w:r>
    </w:p>
    <w:p w14:paraId="411D9846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✔ Trigger: </w:t>
      </w:r>
      <w:r>
        <w:t>Fully automated. Creating an invoice in the accounting software triggers the flow; the validated outputs return automatically. No manual step on the middleware side. (Exact push-vs-pull mechanics per Odoo/Zoho are detailed in 04-Flows.)</w:t>
      </w:r>
    </w:p>
    <w:p w14:paraId="27678BAD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✔ Onboarding: </w:t>
      </w:r>
      <w:r>
        <w:t>Self-service with Google authentication + complete self-serve guides/tutorials for accounting-software setup and API access. Assisted help only on request. (See §8.1.)</w:t>
      </w:r>
    </w:p>
    <w:p w14:paraId="4A6621F2" w14:textId="77777777" w:rsidR="0005608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✔ Write-back: </w:t>
      </w:r>
      <w:r>
        <w:t>Returns the full set — signed XML + cleared/compliant PDF + QR + ZATCA status + UUID — for both Odoo and Zoho.</w:t>
      </w:r>
    </w:p>
    <w:p w14:paraId="4B31204C" w14:textId="77777777" w:rsidR="0005608A" w:rsidRDefault="00000000">
      <w:pPr>
        <w:spacing w:before="200"/>
      </w:pPr>
      <w:r>
        <w:rPr>
          <w:i/>
          <w:iCs/>
          <w:color w:val="666666"/>
        </w:rPr>
        <w:lastRenderedPageBreak/>
        <w:t>PRD locked at v1.0. Next: Document 02 — Actors &amp; Capabilities.</w:t>
      </w:r>
    </w:p>
    <w:sectPr w:rsidR="000560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1563" w14:textId="77777777" w:rsidR="001F688A" w:rsidRDefault="001F688A">
      <w:r>
        <w:separator/>
      </w:r>
    </w:p>
  </w:endnote>
  <w:endnote w:type="continuationSeparator" w:id="0">
    <w:p w14:paraId="32AD7911" w14:textId="77777777" w:rsidR="001F688A" w:rsidRDefault="001F6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C648" w14:textId="77777777" w:rsidR="0005608A" w:rsidRDefault="00000000">
    <w:pPr>
      <w:jc w:val="center"/>
    </w:pPr>
    <w:r>
      <w:rPr>
        <w:color w:val="888888"/>
        <w:sz w:val="16"/>
        <w:szCs w:val="16"/>
      </w:rPr>
      <w:t xml:space="preserve">Convergent BT  —  Confidential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D408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9E464" w14:textId="77777777" w:rsidR="001F688A" w:rsidRDefault="001F688A">
      <w:r>
        <w:separator/>
      </w:r>
    </w:p>
  </w:footnote>
  <w:footnote w:type="continuationSeparator" w:id="0">
    <w:p w14:paraId="3C277A60" w14:textId="77777777" w:rsidR="001F688A" w:rsidRDefault="001F6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5861" w14:textId="77777777" w:rsidR="0005608A" w:rsidRDefault="00000000">
    <w:pPr>
      <w:pBdr>
        <w:bottom w:val="single" w:sz="4" w:space="2" w:color="CCCCCC"/>
      </w:pBdr>
      <w:tabs>
        <w:tab w:val="right" w:pos="9360"/>
      </w:tabs>
    </w:pPr>
    <w:r>
      <w:rPr>
        <w:color w:val="888888"/>
        <w:sz w:val="16"/>
        <w:szCs w:val="16"/>
      </w:rPr>
      <w:t>ZATCA Compliance Middleware</w:t>
    </w:r>
    <w:r>
      <w:rPr>
        <w:color w:val="888888"/>
        <w:sz w:val="16"/>
        <w:szCs w:val="16"/>
      </w:rPr>
      <w:tab/>
      <w:t>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84F"/>
    <w:multiLevelType w:val="hybridMultilevel"/>
    <w:tmpl w:val="DD70D15A"/>
    <w:lvl w:ilvl="0" w:tplc="F226665A">
      <w:start w:val="1"/>
      <w:numFmt w:val="decimal"/>
      <w:lvlText w:val="%1."/>
      <w:lvlJc w:val="left"/>
      <w:pPr>
        <w:ind w:left="540" w:hanging="280"/>
      </w:pPr>
    </w:lvl>
    <w:lvl w:ilvl="1" w:tplc="EB828E2E">
      <w:numFmt w:val="decimal"/>
      <w:lvlText w:val=""/>
      <w:lvlJc w:val="left"/>
    </w:lvl>
    <w:lvl w:ilvl="2" w:tplc="11E26744">
      <w:numFmt w:val="decimal"/>
      <w:lvlText w:val=""/>
      <w:lvlJc w:val="left"/>
    </w:lvl>
    <w:lvl w:ilvl="3" w:tplc="32D4724C">
      <w:numFmt w:val="decimal"/>
      <w:lvlText w:val=""/>
      <w:lvlJc w:val="left"/>
    </w:lvl>
    <w:lvl w:ilvl="4" w:tplc="295C33C8">
      <w:numFmt w:val="decimal"/>
      <w:lvlText w:val=""/>
      <w:lvlJc w:val="left"/>
    </w:lvl>
    <w:lvl w:ilvl="5" w:tplc="EFF05CD8">
      <w:numFmt w:val="decimal"/>
      <w:lvlText w:val=""/>
      <w:lvlJc w:val="left"/>
    </w:lvl>
    <w:lvl w:ilvl="6" w:tplc="63CE767E">
      <w:numFmt w:val="decimal"/>
      <w:lvlText w:val=""/>
      <w:lvlJc w:val="left"/>
    </w:lvl>
    <w:lvl w:ilvl="7" w:tplc="25B26BB2">
      <w:numFmt w:val="decimal"/>
      <w:lvlText w:val=""/>
      <w:lvlJc w:val="left"/>
    </w:lvl>
    <w:lvl w:ilvl="8" w:tplc="0F08045E">
      <w:numFmt w:val="decimal"/>
      <w:lvlText w:val=""/>
      <w:lvlJc w:val="left"/>
    </w:lvl>
  </w:abstractNum>
  <w:abstractNum w:abstractNumId="1" w15:restartNumberingAfterBreak="0">
    <w:nsid w:val="5ABC21D5"/>
    <w:multiLevelType w:val="hybridMultilevel"/>
    <w:tmpl w:val="193C6B5C"/>
    <w:lvl w:ilvl="0" w:tplc="2F32FBA2">
      <w:start w:val="1"/>
      <w:numFmt w:val="bullet"/>
      <w:lvlText w:val="●"/>
      <w:lvlJc w:val="left"/>
      <w:pPr>
        <w:ind w:left="720" w:hanging="360"/>
      </w:pPr>
    </w:lvl>
    <w:lvl w:ilvl="1" w:tplc="2D00AAF6">
      <w:start w:val="1"/>
      <w:numFmt w:val="bullet"/>
      <w:lvlText w:val="○"/>
      <w:lvlJc w:val="left"/>
      <w:pPr>
        <w:ind w:left="1440" w:hanging="360"/>
      </w:pPr>
    </w:lvl>
    <w:lvl w:ilvl="2" w:tplc="51D48808">
      <w:start w:val="1"/>
      <w:numFmt w:val="bullet"/>
      <w:lvlText w:val="■"/>
      <w:lvlJc w:val="left"/>
      <w:pPr>
        <w:ind w:left="2160" w:hanging="360"/>
      </w:pPr>
    </w:lvl>
    <w:lvl w:ilvl="3" w:tplc="01124C9A">
      <w:start w:val="1"/>
      <w:numFmt w:val="bullet"/>
      <w:lvlText w:val="●"/>
      <w:lvlJc w:val="left"/>
      <w:pPr>
        <w:ind w:left="2880" w:hanging="360"/>
      </w:pPr>
    </w:lvl>
    <w:lvl w:ilvl="4" w:tplc="33606D92">
      <w:start w:val="1"/>
      <w:numFmt w:val="bullet"/>
      <w:lvlText w:val="○"/>
      <w:lvlJc w:val="left"/>
      <w:pPr>
        <w:ind w:left="3600" w:hanging="360"/>
      </w:pPr>
    </w:lvl>
    <w:lvl w:ilvl="5" w:tplc="E0E659D6">
      <w:start w:val="1"/>
      <w:numFmt w:val="bullet"/>
      <w:lvlText w:val="■"/>
      <w:lvlJc w:val="left"/>
      <w:pPr>
        <w:ind w:left="4320" w:hanging="360"/>
      </w:pPr>
    </w:lvl>
    <w:lvl w:ilvl="6" w:tplc="BB80CFB6">
      <w:start w:val="1"/>
      <w:numFmt w:val="bullet"/>
      <w:lvlText w:val="●"/>
      <w:lvlJc w:val="left"/>
      <w:pPr>
        <w:ind w:left="5040" w:hanging="360"/>
      </w:pPr>
    </w:lvl>
    <w:lvl w:ilvl="7" w:tplc="FD1A6A22">
      <w:start w:val="1"/>
      <w:numFmt w:val="bullet"/>
      <w:lvlText w:val="●"/>
      <w:lvlJc w:val="left"/>
      <w:pPr>
        <w:ind w:left="5760" w:hanging="360"/>
      </w:pPr>
    </w:lvl>
    <w:lvl w:ilvl="8" w:tplc="00CE51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FE66A1"/>
    <w:multiLevelType w:val="hybridMultilevel"/>
    <w:tmpl w:val="EA7E6BA4"/>
    <w:lvl w:ilvl="0" w:tplc="FDF8C050">
      <w:start w:val="1"/>
      <w:numFmt w:val="bullet"/>
      <w:lvlText w:val="•"/>
      <w:lvlJc w:val="left"/>
      <w:pPr>
        <w:ind w:left="540" w:hanging="280"/>
      </w:pPr>
    </w:lvl>
    <w:lvl w:ilvl="1" w:tplc="52783C70">
      <w:start w:val="1"/>
      <w:numFmt w:val="bullet"/>
      <w:lvlText w:val="◦"/>
      <w:lvlJc w:val="left"/>
      <w:pPr>
        <w:ind w:left="1080" w:hanging="280"/>
      </w:pPr>
    </w:lvl>
    <w:lvl w:ilvl="2" w:tplc="DD2A172C">
      <w:numFmt w:val="decimal"/>
      <w:lvlText w:val=""/>
      <w:lvlJc w:val="left"/>
    </w:lvl>
    <w:lvl w:ilvl="3" w:tplc="56A678FE">
      <w:numFmt w:val="decimal"/>
      <w:lvlText w:val=""/>
      <w:lvlJc w:val="left"/>
    </w:lvl>
    <w:lvl w:ilvl="4" w:tplc="1A9A0C5C">
      <w:numFmt w:val="decimal"/>
      <w:lvlText w:val=""/>
      <w:lvlJc w:val="left"/>
    </w:lvl>
    <w:lvl w:ilvl="5" w:tplc="9D5C6A54">
      <w:numFmt w:val="decimal"/>
      <w:lvlText w:val=""/>
      <w:lvlJc w:val="left"/>
    </w:lvl>
    <w:lvl w:ilvl="6" w:tplc="9780A828">
      <w:numFmt w:val="decimal"/>
      <w:lvlText w:val=""/>
      <w:lvlJc w:val="left"/>
    </w:lvl>
    <w:lvl w:ilvl="7" w:tplc="725E18BA">
      <w:numFmt w:val="decimal"/>
      <w:lvlText w:val=""/>
      <w:lvlJc w:val="left"/>
    </w:lvl>
    <w:lvl w:ilvl="8" w:tplc="1A86D6B6">
      <w:numFmt w:val="decimal"/>
      <w:lvlText w:val=""/>
      <w:lvlJc w:val="left"/>
    </w:lvl>
  </w:abstractNum>
  <w:num w:numId="1" w16cid:durableId="930511096">
    <w:abstractNumId w:val="1"/>
    <w:lvlOverride w:ilvl="0">
      <w:startOverride w:val="1"/>
    </w:lvlOverride>
  </w:num>
  <w:num w:numId="2" w16cid:durableId="212273421">
    <w:abstractNumId w:val="2"/>
    <w:lvlOverride w:ilvl="0">
      <w:startOverride w:val="1"/>
    </w:lvlOverride>
  </w:num>
  <w:num w:numId="3" w16cid:durableId="1640647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8A"/>
    <w:rsid w:val="0005608A"/>
    <w:rsid w:val="001F688A"/>
    <w:rsid w:val="00B53A18"/>
    <w:rsid w:val="00FD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7870"/>
  <w15:docId w15:val="{BD7E921E-2E84-4D46-8618-60CC0B4E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6FB2"/>
      </w:pBdr>
      <w:spacing w:before="300" w:after="160"/>
      <w:outlineLvl w:val="0"/>
    </w:pPr>
    <w:rPr>
      <w:b/>
      <w:bCs/>
      <w:color w:val="1F6FB2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ZATCA Compliance Middleware — PRD</dc:title>
  <dc:creator>Convergent BT</dc:creator>
  <cp:lastModifiedBy>Muhammad Anas Quershi</cp:lastModifiedBy>
  <cp:revision>2</cp:revision>
  <dcterms:created xsi:type="dcterms:W3CDTF">2026-06-17T11:24:00Z</dcterms:created>
  <dcterms:modified xsi:type="dcterms:W3CDTF">2026-06-17T11:28:00Z</dcterms:modified>
</cp:coreProperties>
</file>