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C4A"/>
          <w:sz w:val="30"/>
          <w:szCs w:val="30"/>
        </w:rPr>
        <w:t xml:space="preserve">MEADOW &amp; CO — MARKETING ANALYTICS &amp; BUDGET OPTIMIZATION</w:t>
      </w:r>
    </w:p>
    <w:p>
      <w:pPr>
        <w:spacing w:after="200"/>
        <w:jc w:val="center"/>
      </w:pPr>
      <w:r>
        <w:rPr>
          <w:i/>
          <w:iCs/>
          <w:color w:val="5B5B5B"/>
          <w:sz w:val="19"/>
          <w:szCs w:val="19"/>
        </w:rPr>
        <w:t xml:space="preserve">End-to-end marketing analytics project  |  Saud Qureshi  |  MySQL · Power BI · Python</w:t>
      </w:r>
    </w:p>
    <w:p>
      <w:pPr>
        <w:pBdr>
          <w:bottom w:val="single" w:color="1F5C4A" w:sz="8" w:space="8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5C4A"/>
          <w:sz w:val="25"/>
          <w:szCs w:val="25"/>
        </w:rPr>
        <w:t xml:space="preserve">The Business Problem</w:t>
      </w:r>
    </w:p>
    <w:p>
      <w:pPr>
        <w:spacing w:after="140"/>
      </w:pPr>
      <w:r>
        <w:rPr>
          <w:sz w:val="21"/>
          <w:szCs w:val="21"/>
        </w:rPr>
        <w:t xml:space="preserve">Meadow &amp; Co is a 3-year-old London direct-to-consumer skincare brand. Over 18 months, marketing spend across Google Search, Google Shopping, Meta Ads, Affiliate, Email, and Organic channels climbed significantly — but leadership had no reliable way to see whether that spend was driving profitable growth or funding inefficient, low-return acquisition. This project builds the analytics foundation to answer that question and recommend a concrete next step.</w:t>
      </w:r>
    </w:p>
    <w:p>
      <w:pPr>
        <w:pStyle w:val="Heading2"/>
        <w:spacing w:after="120" w:before="280"/>
      </w:pPr>
      <w:r>
        <w:rPr>
          <w:b/>
          <w:bCs/>
          <w:color w:val="1F5C4A"/>
          <w:sz w:val="25"/>
          <w:szCs w:val="25"/>
        </w:rP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Cleaned and reconciled 18 months of order, spend, and website-funnel data across 5 channels using MySQL — resolving mismatched channel-naming conventions and validating every headline figure before it entered the dashboard.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Built a full Power BI data model (8 relationships, 19 DAX measures) connecting customer, order, spend, funnel, RFM, and email test data into one governed source of truth.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Delivered a 5-page interactive Power BI report, each page answering one specific business question, with every number independently validated against the underlying SQL.</w:t>
      </w:r>
    </w:p>
    <w:p>
      <w:pPr>
        <w:pStyle w:val="Heading2"/>
        <w:spacing w:after="120" w:before="280"/>
      </w:pPr>
      <w:r>
        <w:rPr>
          <w:b/>
          <w:bCs/>
          <w:color w:val="1F5C4A"/>
          <w:sz w:val="25"/>
          <w:szCs w:val="25"/>
        </w:rPr>
        <w:t xml:space="preserve">Key Findings &amp; Recommendation</w:t>
      </w:r>
    </w:p>
    <w:p>
      <w:pPr>
        <w:spacing w:after="130"/>
      </w:pPr>
      <w:r>
        <w:rPr>
          <w:b/>
          <w:bCs/>
          <w:color w:val="1F5C4A"/>
          <w:sz w:val="21"/>
          <w:szCs w:val="21"/>
        </w:rPr>
        <w:t xml:space="preserve">Channel ROI:  </w:t>
      </w:r>
      <w:r>
        <w:rPr>
          <w:sz w:val="21"/>
          <w:szCs w:val="21"/>
        </w:rPr>
        <w:t xml:space="preserve">Blended paid ROAS of 1.39x hides a wide spread — Affiliate returns £5.30 for every £1 spent, while Meta Ads returns only £0.75.</w:t>
      </w:r>
    </w:p>
    <w:p>
      <w:pPr>
        <w:spacing w:after="130"/>
      </w:pPr>
      <w:r>
        <w:rPr>
          <w:b/>
          <w:bCs/>
          <w:color w:val="1F5C4A"/>
          <w:sz w:val="21"/>
          <w:szCs w:val="21"/>
        </w:rPr>
        <w:t xml:space="preserve">Customer Segmentation:  </w:t>
      </w:r>
      <w:r>
        <w:rPr>
          <w:sz w:val="21"/>
          <w:szCs w:val="21"/>
        </w:rPr>
        <w:t xml:space="preserve">Anti-Ageing customers are worth £79.18 each on average — more than double Acne &amp; Blemish customers (£36.70) — yet ad spend allocation doesn't reflect this value gap.</w:t>
      </w:r>
    </w:p>
    <w:p>
      <w:pPr>
        <w:spacing w:after="130"/>
      </w:pPr>
      <w:r>
        <w:rPr>
          <w:b/>
          <w:bCs/>
          <w:color w:val="1F5C4A"/>
          <w:sz w:val="21"/>
          <w:szCs w:val="21"/>
        </w:rPr>
        <w:t xml:space="preserve">Funnel Leakage:  </w:t>
      </w:r>
      <w:r>
        <w:rPr>
          <w:sz w:val="21"/>
          <w:szCs w:val="21"/>
        </w:rPr>
        <w:t xml:space="preserve">Mobile drives 71% more sessions than Desktop but converts at less than half the rate (1.90% vs 3.25%). The problem is isolated to checkout, not earlier funnel stages — a UX issue, not a targeting issue.</w:t>
      </w:r>
    </w:p>
    <w:p>
      <w:pPr>
        <w:spacing w:after="130"/>
      </w:pPr>
      <w:r>
        <w:rPr>
          <w:b/>
          <w:bCs/>
          <w:color w:val="1F5C4A"/>
          <w:sz w:val="21"/>
          <w:szCs w:val="21"/>
        </w:rPr>
        <w:t xml:space="preserve">A/B Test Validation:  </w:t>
      </w:r>
      <w:r>
        <w:rPr>
          <w:sz w:val="21"/>
          <w:szCs w:val="21"/>
        </w:rPr>
        <w:t xml:space="preserve">October's email subject-line test showed Variant B converting 56% higher than Variant A, but a two-proportion z-test found the result was not statistically significant (p = 0.069) — the test needs a larger sample before a winner is declared.</w:t>
      </w:r>
    </w:p>
    <w:p>
      <w:pPr>
        <w:spacing w:after="130"/>
      </w:pPr>
      <w:r>
        <w:rPr>
          <w:b/>
          <w:bCs/>
          <w:color w:val="1F5C4A"/>
          <w:sz w:val="21"/>
          <w:szCs w:val="21"/>
        </w:rPr>
        <w:t xml:space="preserve">Budget Optimization:  </w:t>
      </w:r>
      <w:r>
        <w:rPr>
          <w:sz w:val="21"/>
          <w:szCs w:val="21"/>
        </w:rPr>
        <w:t xml:space="preserve">Recommended a budget-neutral reallocation of ~£2,615 away from Meta Ads into Google Shopping, Google Search, and Affiliate — same total spend, shifted toward channels already proving they convert it into profit — while explicitly protecting Meta Ads' reach into the highest-value customer segment rather than cutting it blindly.</w:t>
      </w:r>
    </w:p>
    <w:p>
      <w:pPr>
        <w:pStyle w:val="Heading2"/>
        <w:spacing w:after="120" w:before="280"/>
      </w:pPr>
      <w:r>
        <w:rPr>
          <w:b/>
          <w:bCs/>
          <w:color w:val="1F5C4A"/>
          <w:sz w:val="25"/>
          <w:szCs w:val="25"/>
        </w:rPr>
        <w:t xml:space="preserve">Tools &amp; Skills Demonstrated</w:t>
      </w:r>
    </w:p>
    <w:p>
      <w:pPr>
        <w:spacing w:after="140"/>
      </w:pPr>
      <w:r>
        <w:rPr>
          <w:color w:val="5B5B5B"/>
          <w:sz w:val="21"/>
          <w:szCs w:val="21"/>
        </w:rPr>
        <w:t xml:space="preserve">MySQL (data cleaning, view design, validation) · Power BI (star-schema data modeling, DAX, dashboard design) · Python (statistical hypothesis testing embedded in BI) · Two-proportion z-testing · RFM customer segmentation · Funnel/conversion analysis · Budget allocation modeling · Executive-level data storytelling.</w:t>
      </w:r>
    </w:p>
    <w:p>
      <w:pPr>
        <w:pBdr>
          <w:top w:val="single" w:color="1F5C4A" w:sz="8" w:space="8"/>
        </w:pBdr>
        <w:spacing w:before="260"/>
      </w:pPr>
      <w:r>
        <w:rPr>
          <w:i/>
          <w:iCs/>
          <w:color w:val="5B5B5B"/>
          <w:sz w:val="19"/>
          <w:szCs w:val="19"/>
        </w:rPr>
        <w:t xml:space="preserve">Full interactive Power BI report, SQL scripts, and detailed methodology available 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2026-09-11T15:15:21.302Z</dcterms:created>
  <dcterms:modified xsi:type="dcterms:W3CDTF">2026-09-11T15:15:21.316Z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