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b6472"/>
          <w:sz w:val="20"/>
          <w:szCs w:val="20"/>
        </w:rPr>
        <w:t xml:space="preserve">Target Intelligence and Opportunity Platform</w:t>
      </w:r>
    </w:p>
    <w:p>
      <w:pPr>
        <w:spacing w:after="60"/>
      </w:pPr>
      <w:r>
        <w:rPr>
          <w:b/>
          <w:bCs/>
          <w:color w:val="111827"/>
          <w:sz w:val="40"/>
          <w:szCs w:val="40"/>
        </w:rPr>
        <w:t xml:space="preserve">How the numbers are calculated</w:t>
      </w:r>
    </w:p>
    <w:p>
      <w:pPr>
        <w:spacing w:after="40"/>
      </w:pPr>
      <w:r>
        <w:rPr>
          <w:color w:val="5b6472"/>
          <w:sz w:val="22"/>
          <w:szCs w:val="22"/>
        </w:rPr>
        <w:t xml:space="preserve">Scoring methods, worked examples, assumptions, and open questions for review</w:t>
      </w:r>
    </w:p>
    <w:p>
      <w:pPr>
        <w:spacing w:after="200"/>
      </w:pPr>
      <w:r>
        <w:rPr>
          <w:i/>
          <w:iCs/>
          <w:color w:val="5b6472"/>
          <w:sz w:val="18"/>
          <w:szCs w:val="18"/>
        </w:rPr>
        <w:t xml:space="preserve">Score version whitespace-0.1.0  ·  data: Open Targets 26.06, ChEMBL_37, ClinicalTrials.gov  ·  cohort: 13 immuno-oncology targets</w:t>
      </w:r>
    </w:p>
    <w:p>
      <w:pPr>
        <w:spacing w:after="120" w:line="276"/>
      </w:pPr>
      <w:r>
        <w:rPr>
          <w:i/>
          <w:iCs/>
          <w:color w:val="111827"/>
          <w:sz w:val="21"/>
          <w:szCs w:val="21"/>
        </w:rPr>
        <w:t xml:space="preserve">This document explains, in full, how every number on the platform is produced. It is written for scientific review. Nothing here is a black box: each score is a transparent formula over public data, and every input has a named source. Please mark it up. The last section lists the specific choices we most want your feedback on.</w:t>
      </w:r>
    </w:p>
    <w:p>
      <w:pPr>
        <w:pStyle w:val="Heading1"/>
        <w:spacing w:after="120" w:before="260"/>
      </w:pPr>
      <w:r>
        <w:rPr>
          <w:b/>
          <w:bCs/>
          <w:color w:val="111827"/>
          <w:sz w:val="28"/>
          <w:szCs w:val="28"/>
        </w:rPr>
        <w:t xml:space="preserve">1. The opportunity score in one line</w:t>
      </w:r>
    </w:p>
    <w:p>
      <w:pPr>
        <w:spacing w:after="120" w:line="276"/>
      </w:pPr>
      <w:r>
        <w:rPr>
          <w:color w:val="111827"/>
          <w:sz w:val="21"/>
          <w:szCs w:val="21"/>
        </w:rPr>
        <w:t xml:space="preserve">Every target gets one headline number, the opportunity score, from 0 to 100. It is the product of three parts, each measured from 0 to 1:</w:t>
      </w:r>
    </w:p>
    <w:p>
      <w:pPr>
        <w:spacing w:after="120" w:before="60"/>
        <w:jc w:val="center"/>
      </w:pPr>
      <w:r>
        <w:rPr>
          <w:rFonts w:ascii="Consolas" w:cs="Consolas" w:eastAsia="Consolas" w:hAnsi="Consolas"/>
          <w:b/>
          <w:bCs/>
          <w:color w:val="111827"/>
          <w:sz w:val="24"/>
          <w:szCs w:val="24"/>
        </w:rPr>
        <w:t xml:space="preserve">Opportunity  =  100  ×  V  ×  T  ×  (1 − S)</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3120"/>
        <w:gridCol w:w="3120"/>
        <w:gridCol w:w="3120"/>
      </w:tblGrid>
      <w:tr>
        <w:trPr>
          <w:tblHeader/>
        </w:trPr>
        <w:tc>
          <w:tcPr>
            <w:tcW w:type="dxa" w:w="3120"/>
            <w:shd w:fill="2f52c9" w:color="auto" w:val="clear"/>
            <w:tcMar>
              <w:top w:type="dxa" w:w="60"/>
              <w:left w:type="dxa" w:w="100"/>
              <w:bottom w:type="dxa" w:w="60"/>
              <w:right w:type="dxa" w:w="100"/>
            </w:tcMar>
          </w:tcPr>
          <w:p>
            <w:pPr>
              <w:spacing w:after="0"/>
            </w:pPr>
            <w:r>
              <w:rPr>
                <w:b/>
                <w:bCs/>
                <w:color w:val="ffffff"/>
                <w:sz w:val="19"/>
                <w:szCs w:val="19"/>
              </w:rPr>
              <w:t xml:space="preserve">V  ·  How proven the biology is</w:t>
            </w:r>
          </w:p>
        </w:tc>
        <w:tc>
          <w:tcPr>
            <w:tcW w:type="dxa" w:w="3120"/>
            <w:shd w:fill="2f52c9" w:color="auto" w:val="clear"/>
            <w:tcMar>
              <w:top w:type="dxa" w:w="60"/>
              <w:left w:type="dxa" w:w="100"/>
              <w:bottom w:type="dxa" w:w="60"/>
              <w:right w:type="dxa" w:w="100"/>
            </w:tcMar>
          </w:tcPr>
          <w:p>
            <w:pPr>
              <w:spacing w:after="0"/>
            </w:pPr>
            <w:r>
              <w:rPr>
                <w:b/>
                <w:bCs/>
                <w:color w:val="ffffff"/>
                <w:sz w:val="19"/>
                <w:szCs w:val="19"/>
              </w:rPr>
              <w:t xml:space="preserve">T  ·  Whether it can be drugged</w:t>
            </w:r>
          </w:p>
        </w:tc>
        <w:tc>
          <w:tcPr>
            <w:tcW w:type="dxa" w:w="3120"/>
            <w:shd w:fill="2f52c9" w:color="auto" w:val="clear"/>
            <w:tcMar>
              <w:top w:type="dxa" w:w="60"/>
              <w:left w:type="dxa" w:w="100"/>
              <w:bottom w:type="dxa" w:w="60"/>
              <w:right w:type="dxa" w:w="100"/>
            </w:tcMar>
          </w:tcPr>
          <w:p>
            <w:pPr>
              <w:spacing w:after="0"/>
            </w:pPr>
            <w:r>
              <w:rPr>
                <w:b/>
                <w:bCs/>
                <w:color w:val="ffffff"/>
                <w:sz w:val="19"/>
                <w:szCs w:val="19"/>
              </w:rPr>
              <w:t xml:space="preserve">(1 − S)  ·  How much room is left</w:t>
            </w:r>
          </w:p>
        </w:tc>
      </w:tr>
      <w:tr>
        <w:tc>
          <w:tcPr>
            <w:tcW w:type="dxa" w:w="3120"/>
            <w:tcMar>
              <w:top w:type="dxa" w:w="60"/>
              <w:left w:type="dxa" w:w="100"/>
              <w:bottom w:type="dxa" w:w="60"/>
              <w:right w:type="dxa" w:w="100"/>
            </w:tcMar>
          </w:tcPr>
          <w:p>
            <w:pPr>
              <w:spacing w:after="0"/>
            </w:pPr>
            <w:r>
              <w:rPr>
                <w:color w:val="111827"/>
                <w:sz w:val="19"/>
                <w:szCs w:val="19"/>
              </w:rPr>
              <w:t xml:space="preserve">Higher when the target has strong, well evidenced links to disease.</w:t>
            </w:r>
          </w:p>
        </w:tc>
        <w:tc>
          <w:tcPr>
            <w:tcW w:type="dxa" w:w="3120"/>
            <w:tcMar>
              <w:top w:type="dxa" w:w="60"/>
              <w:left w:type="dxa" w:w="100"/>
              <w:bottom w:type="dxa" w:w="60"/>
              <w:right w:type="dxa" w:w="100"/>
            </w:tcMar>
          </w:tcPr>
          <w:p>
            <w:pPr>
              <w:spacing w:after="0"/>
            </w:pPr>
            <w:r>
              <w:rPr>
                <w:color w:val="111827"/>
                <w:sz w:val="19"/>
                <w:szCs w:val="19"/>
              </w:rPr>
              <w:t xml:space="preserve">Higher when there is a credible way to make a drug against it.</w:t>
            </w:r>
          </w:p>
        </w:tc>
        <w:tc>
          <w:tcPr>
            <w:tcW w:type="dxa" w:w="3120"/>
            <w:tcMar>
              <w:top w:type="dxa" w:w="60"/>
              <w:left w:type="dxa" w:w="100"/>
              <w:bottom w:type="dxa" w:w="60"/>
              <w:right w:type="dxa" w:w="100"/>
            </w:tcMar>
          </w:tcPr>
          <w:p>
            <w:pPr>
              <w:spacing w:after="0"/>
            </w:pPr>
            <w:r>
              <w:rPr>
                <w:color w:val="111827"/>
                <w:sz w:val="19"/>
                <w:szCs w:val="19"/>
              </w:rPr>
              <w:t xml:space="preserve">Higher when few drugs, trials, and companies are already there.</w:t>
            </w:r>
          </w:p>
        </w:tc>
      </w:tr>
    </w:tbl>
    <w:p>
      <w:pPr>
        <w:spacing w:after="120" w:line="276"/>
      </w:pPr>
      <w:r>
        <w:rPr>
          <w:color w:val="111827"/>
          <w:sz w:val="21"/>
          <w:szCs w:val="21"/>
        </w:rPr>
        <w:t xml:space="preserve"/>
      </w:r>
    </w:p>
    <w:p>
      <w:pPr>
        <w:spacing w:after="120" w:line="276"/>
      </w:pPr>
      <w:r>
        <w:rPr>
          <w:color w:val="111827"/>
          <w:sz w:val="21"/>
          <w:szCs w:val="21"/>
        </w:rPr>
        <w:t xml:space="preserve">It is multiplied, not added, on purpose. All three have to be reasonable for a target to score well. If any one is near zero, the opportunity is near zero. A crowded target cannot be an opening no matter how proven it is, which is exactly why the most-drugged checkpoint lands at the bottom.</w:t>
      </w:r>
    </w:p>
    <w:p>
      <w:pPr>
        <w:pStyle w:val="Heading2"/>
        <w:spacing w:after="90" w:before="200"/>
      </w:pPr>
      <w:r>
        <w:rPr>
          <w:b/>
          <w:bCs/>
          <w:color w:val="2f52c9"/>
          <w:sz w:val="24"/>
          <w:szCs w:val="24"/>
        </w:rPr>
        <w:t xml:space="preserve">Worked example: STING (TMEM173), the top-ranked target</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2600"/>
        <w:gridCol w:w="6760"/>
      </w:tblGrid>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V (proven biology)</w:t>
            </w:r>
          </w:p>
        </w:tc>
        <w:tc>
          <w:tcPr>
            <w:tcW w:type="dxa" w:w="6760"/>
            <w:tcMar>
              <w:top w:type="dxa" w:w="60"/>
              <w:left w:type="dxa" w:w="100"/>
              <w:bottom w:type="dxa" w:w="60"/>
              <w:right w:type="dxa" w:w="100"/>
            </w:tcMar>
          </w:tcPr>
          <w:p>
            <w:pPr>
              <w:spacing w:after="0"/>
            </w:pPr>
            <w:r>
              <w:rPr>
                <w:color w:val="111827"/>
                <w:sz w:val="19"/>
                <w:szCs w:val="19"/>
              </w:rPr>
              <w:t xml:space="preserve">0.7418</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T (can be drugged)</w:t>
            </w:r>
          </w:p>
        </w:tc>
        <w:tc>
          <w:tcPr>
            <w:tcW w:type="dxa" w:w="6760"/>
            <w:tcMar>
              <w:top w:type="dxa" w:w="60"/>
              <w:left w:type="dxa" w:w="100"/>
              <w:bottom w:type="dxa" w:w="60"/>
              <w:right w:type="dxa" w:w="100"/>
            </w:tcMar>
          </w:tcPr>
          <w:p>
            <w:pPr>
              <w:spacing w:after="0"/>
            </w:pPr>
            <w:r>
              <w:rPr>
                <w:color w:val="111827"/>
                <w:sz w:val="19"/>
                <w:szCs w:val="19"/>
              </w:rPr>
              <w:t xml:space="preserve">0.90</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1 − S (room left)</w:t>
            </w:r>
          </w:p>
        </w:tc>
        <w:tc>
          <w:tcPr>
            <w:tcW w:type="dxa" w:w="6760"/>
            <w:tcMar>
              <w:top w:type="dxa" w:w="60"/>
              <w:left w:type="dxa" w:w="100"/>
              <w:bottom w:type="dxa" w:w="60"/>
              <w:right w:type="dxa" w:w="100"/>
            </w:tcMar>
          </w:tcPr>
          <w:p>
            <w:pPr>
              <w:spacing w:after="0"/>
            </w:pPr>
            <w:r>
              <w:rPr>
                <w:color w:val="111827"/>
                <w:sz w:val="19"/>
                <w:szCs w:val="19"/>
              </w:rPr>
              <w:t xml:space="preserve">0.8359   (so S, crowding, = 0.1641)</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Opportunity</w:t>
            </w:r>
          </w:p>
        </w:tc>
        <w:tc>
          <w:tcPr>
            <w:tcW w:type="dxa" w:w="6760"/>
            <w:tcMar>
              <w:top w:type="dxa" w:w="60"/>
              <w:left w:type="dxa" w:w="100"/>
              <w:bottom w:type="dxa" w:w="60"/>
              <w:right w:type="dxa" w:w="100"/>
            </w:tcMar>
          </w:tcPr>
          <w:p>
            <w:pPr>
              <w:spacing w:after="0"/>
            </w:pPr>
            <w:r>
              <w:rPr>
                <w:color w:val="111827"/>
                <w:sz w:val="19"/>
                <w:szCs w:val="19"/>
              </w:rPr>
              <w:t xml:space="preserve">100 × 0.7418 × 0.90 × 0.8359 = 55.81</w:t>
            </w:r>
          </w:p>
        </w:tc>
      </w:tr>
    </w:tbl>
    <w:p>
      <w:pPr>
        <w:spacing w:after="120" w:line="276"/>
      </w:pPr>
      <w:r>
        <w:rPr>
          <w:color w:val="111827"/>
          <w:sz w:val="21"/>
          <w:szCs w:val="21"/>
        </w:rPr>
        <w:t xml:space="preserve"/>
      </w:r>
    </w:p>
    <w:p>
      <w:pPr>
        <w:pBdr>
          <w:left w:val="single" w:color="b45309" w:sz="18"/>
        </w:pBdr>
        <w:shd w:fill="fff6e6" w:color="auto" w:val="clear"/>
        <w:spacing w:after="120"/>
      </w:pPr>
      <w:r>
        <w:rPr>
          <w:b/>
          <w:bCs/>
          <w:color w:val="111827"/>
          <w:sz w:val="21"/>
          <w:szCs w:val="21"/>
        </w:rPr>
        <w:t xml:space="preserve">Important, and the first thing a reviewer will notice: </w:t>
      </w:r>
      <w:r>
        <w:rPr>
          <w:color w:val="111827"/>
          <w:sz w:val="21"/>
          <w:szCs w:val="21"/>
        </w:rPr>
        <w:t xml:space="preserve">the app shows the three parts rounded to two decimals (0.74, 0.90, 0.84). If you multiply those rounded numbers by hand you get 55.9, not 55.8. The engine uses full precision (0.7418 and 0.8359). The rounded display values are for reading, not for re-deriving the score. We can show more decimals on request.</w:t>
      </w:r>
    </w:p>
    <w:p>
      <w:pPr>
        <w:pStyle w:val="Heading1"/>
        <w:spacing w:after="120" w:before="260"/>
      </w:pPr>
      <w:r>
        <w:rPr>
          <w:b/>
          <w:bCs/>
          <w:color w:val="111827"/>
          <w:sz w:val="28"/>
          <w:szCs w:val="28"/>
        </w:rPr>
        <w:t xml:space="preserve">2. V — How proven the biology is (validation)</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2600"/>
        <w:gridCol w:w="6760"/>
      </w:tblGrid>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What it measures</w:t>
            </w:r>
          </w:p>
        </w:tc>
        <w:tc>
          <w:tcPr>
            <w:tcW w:type="dxa" w:w="6760"/>
            <w:tcMar>
              <w:top w:type="dxa" w:w="60"/>
              <w:left w:type="dxa" w:w="100"/>
              <w:bottom w:type="dxa" w:w="60"/>
              <w:right w:type="dxa" w:w="100"/>
            </w:tcMar>
          </w:tcPr>
          <w:p>
            <w:pPr>
              <w:spacing w:after="0"/>
            </w:pPr>
            <w:r>
              <w:rPr>
                <w:color w:val="111827"/>
                <w:sz w:val="19"/>
                <w:szCs w:val="19"/>
              </w:rPr>
              <w:t xml:space="preserve">How strongly the target is linked to disease by the weight of published evidence.</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Exact definition</w:t>
            </w:r>
          </w:p>
        </w:tc>
        <w:tc>
          <w:tcPr>
            <w:tcW w:type="dxa" w:w="6760"/>
            <w:tcMar>
              <w:top w:type="dxa" w:w="60"/>
              <w:left w:type="dxa" w:w="100"/>
              <w:bottom w:type="dxa" w:w="60"/>
              <w:right w:type="dxa" w:w="100"/>
            </w:tcMar>
          </w:tcPr>
          <w:p>
            <w:pPr>
              <w:spacing w:after="0"/>
            </w:pPr>
            <w:r>
              <w:rPr>
                <w:color w:val="111827"/>
                <w:sz w:val="19"/>
                <w:szCs w:val="19"/>
              </w:rPr>
              <w:t xml:space="preserve">The single highest target–disease association score for this target in Open Targets. Range 0 to 1.</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Source</w:t>
            </w:r>
          </w:p>
        </w:tc>
        <w:tc>
          <w:tcPr>
            <w:tcW w:type="dxa" w:w="6760"/>
            <w:tcMar>
              <w:top w:type="dxa" w:w="60"/>
              <w:left w:type="dxa" w:w="100"/>
              <w:bottom w:type="dxa" w:w="60"/>
              <w:right w:type="dxa" w:w="100"/>
            </w:tcMar>
          </w:tcPr>
          <w:p>
            <w:pPr>
              <w:spacing w:after="0"/>
            </w:pPr>
            <w:r>
              <w:rPr>
                <w:color w:val="111827"/>
                <w:sz w:val="19"/>
                <w:szCs w:val="19"/>
              </w:rPr>
              <w:t xml:space="preserve">Open Targets Platform, the Overall Association Score on the target's Associated Diseases page.</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What is inside that source score</w:t>
            </w:r>
          </w:p>
        </w:tc>
        <w:tc>
          <w:tcPr>
            <w:tcW w:type="dxa" w:w="6760"/>
            <w:tcMar>
              <w:top w:type="dxa" w:w="60"/>
              <w:left w:type="dxa" w:w="100"/>
              <w:bottom w:type="dxa" w:w="60"/>
              <w:right w:type="dxa" w:w="100"/>
            </w:tcMar>
          </w:tcPr>
          <w:p>
            <w:pPr>
              <w:spacing w:after="0"/>
            </w:pPr>
            <w:r>
              <w:rPr>
                <w:color w:val="111827"/>
                <w:sz w:val="19"/>
                <w:szCs w:val="19"/>
              </w:rPr>
              <w:t xml:space="preserve">Open Targets already combines many evidence types by a harmonic sum: genetic associations, somatic mutations, known drugs, affected pathways, differential RNA expression, text mining, and animal models. We use their published number, we do not recompute it.</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STING example</w:t>
            </w:r>
          </w:p>
        </w:tc>
        <w:tc>
          <w:tcPr>
            <w:tcW w:type="dxa" w:w="6760"/>
            <w:tcMar>
              <w:top w:type="dxa" w:w="60"/>
              <w:left w:type="dxa" w:w="100"/>
              <w:bottom w:type="dxa" w:w="60"/>
              <w:right w:type="dxa" w:w="100"/>
            </w:tcMar>
          </w:tcPr>
          <w:p>
            <w:pPr>
              <w:spacing w:after="0"/>
            </w:pPr>
            <w:r>
              <w:rPr>
                <w:color w:val="111827"/>
                <w:sz w:val="19"/>
                <w:szCs w:val="19"/>
              </w:rPr>
              <w:t xml:space="preserve">V = 0.7418 (its strongest disease association).</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Our assumption</w:t>
            </w:r>
          </w:p>
        </w:tc>
        <w:tc>
          <w:tcPr>
            <w:tcW w:type="dxa" w:w="6760"/>
            <w:tcMar>
              <w:top w:type="dxa" w:w="60"/>
              <w:left w:type="dxa" w:w="100"/>
              <w:bottom w:type="dxa" w:w="60"/>
              <w:right w:type="dxa" w:w="100"/>
            </w:tcMar>
          </w:tcPr>
          <w:p>
            <w:pPr>
              <w:spacing w:after="0"/>
            </w:pPr>
            <w:r>
              <w:rPr>
                <w:color w:val="111827"/>
                <w:sz w:val="19"/>
                <w:szCs w:val="19"/>
              </w:rPr>
              <w:t xml:space="preserve">We take the maximum single association, not an average across all diseases. This rewards a target with one very strong disease link.</w:t>
            </w:r>
          </w:p>
        </w:tc>
      </w:tr>
    </w:tbl>
    <w:p>
      <w:pPr>
        <w:pStyle w:val="Heading1"/>
        <w:spacing w:after="120" w:before="260"/>
      </w:pPr>
      <w:r>
        <w:rPr>
          <w:b/>
          <w:bCs/>
          <w:color w:val="111827"/>
          <w:sz w:val="28"/>
          <w:szCs w:val="28"/>
        </w:rPr>
        <w:t xml:space="preserve">3. T — Whether it can be drugged (tractability)</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2600"/>
        <w:gridCol w:w="6760"/>
      </w:tblGrid>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What it measures</w:t>
            </w:r>
          </w:p>
        </w:tc>
        <w:tc>
          <w:tcPr>
            <w:tcW w:type="dxa" w:w="6760"/>
            <w:tcMar>
              <w:top w:type="dxa" w:w="60"/>
              <w:left w:type="dxa" w:w="100"/>
              <w:bottom w:type="dxa" w:w="60"/>
              <w:right w:type="dxa" w:w="100"/>
            </w:tcMar>
          </w:tcPr>
          <w:p>
            <w:pPr>
              <w:spacing w:after="0"/>
            </w:pPr>
            <w:r>
              <w:rPr>
                <w:color w:val="111827"/>
                <w:sz w:val="19"/>
                <w:szCs w:val="19"/>
              </w:rPr>
              <w:t xml:space="preserve">Whether there is a credible, evidenced way to make a drug against this target.</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Exact definition</w:t>
            </w:r>
          </w:p>
        </w:tc>
        <w:tc>
          <w:tcPr>
            <w:tcW w:type="dxa" w:w="6760"/>
            <w:tcMar>
              <w:top w:type="dxa" w:w="60"/>
              <w:left w:type="dxa" w:w="100"/>
              <w:bottom w:type="dxa" w:w="60"/>
              <w:right w:type="dxa" w:w="100"/>
            </w:tcMar>
          </w:tcPr>
          <w:p>
            <w:pPr>
              <w:spacing w:after="0"/>
            </w:pPr>
            <w:r>
              <w:rPr>
                <w:color w:val="111827"/>
                <w:sz w:val="19"/>
                <w:szCs w:val="19"/>
              </w:rPr>
              <w:t xml:space="preserve">The weight of the best (highest) tractability bucket that is true for the target, across all modalities (small molecule, antibody, other clinical, degrader). Range 0 to 1.</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Source</w:t>
            </w:r>
          </w:p>
        </w:tc>
        <w:tc>
          <w:tcPr>
            <w:tcW w:type="dxa" w:w="6760"/>
            <w:tcMar>
              <w:top w:type="dxa" w:w="60"/>
              <w:left w:type="dxa" w:w="100"/>
              <w:bottom w:type="dxa" w:w="60"/>
              <w:right w:type="dxa" w:w="100"/>
            </w:tcMar>
          </w:tcPr>
          <w:p>
            <w:pPr>
              <w:spacing w:after="0"/>
            </w:pPr>
            <w:r>
              <w:rPr>
                <w:color w:val="111827"/>
                <w:sz w:val="19"/>
                <w:szCs w:val="19"/>
              </w:rPr>
              <w:t xml:space="preserve">Open Targets tractability assessment, which flags evidence buckets per modality.</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STING example</w:t>
            </w:r>
          </w:p>
        </w:tc>
        <w:tc>
          <w:tcPr>
            <w:tcW w:type="dxa" w:w="6760"/>
            <w:tcMar>
              <w:top w:type="dxa" w:w="60"/>
              <w:left w:type="dxa" w:w="100"/>
              <w:bottom w:type="dxa" w:w="60"/>
              <w:right w:type="dxa" w:w="100"/>
            </w:tcMar>
          </w:tcPr>
          <w:p>
            <w:pPr>
              <w:spacing w:after="0"/>
            </w:pPr>
            <w:r>
              <w:rPr>
                <w:color w:val="111827"/>
                <w:sz w:val="19"/>
                <w:szCs w:val="19"/>
              </w:rPr>
              <w:t xml:space="preserve">Its best true bucket is 'Advanced Clinical' (weight 0.90), because STING agonists have reached advanced clinical testing. So T = 0.90.</w:t>
            </w:r>
          </w:p>
        </w:tc>
      </w:tr>
    </w:tbl>
    <w:p>
      <w:pPr>
        <w:spacing w:after="120" w:line="276"/>
      </w:pPr>
      <w:r>
        <w:rPr>
          <w:b/>
          <w:bCs/>
          <w:color w:val="111827"/>
          <w:sz w:val="21"/>
          <w:szCs w:val="21"/>
        </w:rPr>
        <w:t xml:space="preserve">The bucket weights below are our mapping. This is the most subjective input in the whole score and the one we most want you to challenge.</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6360"/>
        <w:gridCol w:w="3000"/>
      </w:tblGrid>
      <w:tr>
        <w:trPr>
          <w:tblHeader/>
        </w:trPr>
        <w:tc>
          <w:tcPr>
            <w:tcW w:type="dxa" w:w="6360"/>
            <w:shd w:fill="2f52c9" w:color="auto" w:val="clear"/>
            <w:tcMar>
              <w:top w:type="dxa" w:w="60"/>
              <w:left w:type="dxa" w:w="100"/>
              <w:bottom w:type="dxa" w:w="60"/>
              <w:right w:type="dxa" w:w="100"/>
            </w:tcMar>
          </w:tcPr>
          <w:p>
            <w:pPr>
              <w:spacing w:after="0"/>
            </w:pPr>
            <w:r>
              <w:rPr>
                <w:b/>
                <w:bCs/>
                <w:color w:val="ffffff"/>
                <w:sz w:val="19"/>
                <w:szCs w:val="19"/>
              </w:rPr>
              <w:t xml:space="preserve">Open Targets tractability bucket</w:t>
            </w:r>
          </w:p>
        </w:tc>
        <w:tc>
          <w:tcPr>
            <w:tcW w:type="dxa" w:w="3000"/>
            <w:shd w:fill="2f52c9" w:color="auto" w:val="clear"/>
            <w:tcMar>
              <w:top w:type="dxa" w:w="60"/>
              <w:left w:type="dxa" w:w="100"/>
              <w:bottom w:type="dxa" w:w="60"/>
              <w:right w:type="dxa" w:w="100"/>
            </w:tcMar>
          </w:tcPr>
          <w:p>
            <w:pPr>
              <w:spacing w:after="0"/>
            </w:pPr>
            <w:r>
              <w:rPr>
                <w:b/>
                <w:bCs/>
                <w:color w:val="ffffff"/>
                <w:sz w:val="19"/>
                <w:szCs w:val="19"/>
              </w:rPr>
              <w:t xml:space="preserve">Weight we assign</w:t>
            </w:r>
          </w:p>
        </w:tc>
      </w:tr>
      <w:tr>
        <w:tc>
          <w:tcPr>
            <w:tcW w:type="dxa" w:w="6360"/>
            <w:tcMar>
              <w:top w:type="dxa" w:w="60"/>
              <w:left w:type="dxa" w:w="100"/>
              <w:bottom w:type="dxa" w:w="60"/>
              <w:right w:type="dxa" w:w="100"/>
            </w:tcMar>
          </w:tcPr>
          <w:p>
            <w:pPr>
              <w:spacing w:after="0"/>
            </w:pPr>
            <w:r>
              <w:rPr>
                <w:color w:val="111827"/>
                <w:sz w:val="19"/>
                <w:szCs w:val="19"/>
              </w:rPr>
              <w:t xml:space="preserve">Approved Drug</w:t>
            </w:r>
          </w:p>
        </w:tc>
        <w:tc>
          <w:tcPr>
            <w:tcW w:type="dxa" w:w="3000"/>
            <w:tcMar>
              <w:top w:type="dxa" w:w="60"/>
              <w:left w:type="dxa" w:w="100"/>
              <w:bottom w:type="dxa" w:w="60"/>
              <w:right w:type="dxa" w:w="100"/>
            </w:tcMar>
          </w:tcPr>
          <w:p>
            <w:pPr>
              <w:spacing w:after="0"/>
              <w:jc w:val="center"/>
            </w:pPr>
            <w:r>
              <w:rPr>
                <w:color w:val="111827"/>
                <w:sz w:val="19"/>
                <w:szCs w:val="19"/>
              </w:rPr>
              <w:t xml:space="preserve">1.00</w:t>
            </w:r>
          </w:p>
        </w:tc>
      </w:tr>
      <w:tr>
        <w:tc>
          <w:tcPr>
            <w:tcW w:type="dxa" w:w="6360"/>
            <w:tcMar>
              <w:top w:type="dxa" w:w="60"/>
              <w:left w:type="dxa" w:w="100"/>
              <w:bottom w:type="dxa" w:w="60"/>
              <w:right w:type="dxa" w:w="100"/>
            </w:tcMar>
          </w:tcPr>
          <w:p>
            <w:pPr>
              <w:spacing w:after="0"/>
            </w:pPr>
            <w:r>
              <w:rPr>
                <w:color w:val="111827"/>
                <w:sz w:val="19"/>
                <w:szCs w:val="19"/>
              </w:rPr>
              <w:t xml:space="preserve">Advanced Clinical</w:t>
            </w:r>
          </w:p>
        </w:tc>
        <w:tc>
          <w:tcPr>
            <w:tcW w:type="dxa" w:w="3000"/>
            <w:tcMar>
              <w:top w:type="dxa" w:w="60"/>
              <w:left w:type="dxa" w:w="100"/>
              <w:bottom w:type="dxa" w:w="60"/>
              <w:right w:type="dxa" w:w="100"/>
            </w:tcMar>
          </w:tcPr>
          <w:p>
            <w:pPr>
              <w:spacing w:after="0"/>
              <w:jc w:val="center"/>
            </w:pPr>
            <w:r>
              <w:rPr>
                <w:color w:val="111827"/>
                <w:sz w:val="19"/>
                <w:szCs w:val="19"/>
              </w:rPr>
              <w:t xml:space="preserve">0.90</w:t>
            </w:r>
          </w:p>
        </w:tc>
      </w:tr>
      <w:tr>
        <w:tc>
          <w:tcPr>
            <w:tcW w:type="dxa" w:w="6360"/>
            <w:tcMar>
              <w:top w:type="dxa" w:w="60"/>
              <w:left w:type="dxa" w:w="100"/>
              <w:bottom w:type="dxa" w:w="60"/>
              <w:right w:type="dxa" w:w="100"/>
            </w:tcMar>
          </w:tcPr>
          <w:p>
            <w:pPr>
              <w:spacing w:after="0"/>
            </w:pPr>
            <w:r>
              <w:rPr>
                <w:color w:val="111827"/>
                <w:sz w:val="19"/>
                <w:szCs w:val="19"/>
              </w:rPr>
              <w:t xml:space="preserve">Phase 1 Clinical</w:t>
            </w:r>
          </w:p>
        </w:tc>
        <w:tc>
          <w:tcPr>
            <w:tcW w:type="dxa" w:w="3000"/>
            <w:tcMar>
              <w:top w:type="dxa" w:w="60"/>
              <w:left w:type="dxa" w:w="100"/>
              <w:bottom w:type="dxa" w:w="60"/>
              <w:right w:type="dxa" w:w="100"/>
            </w:tcMar>
          </w:tcPr>
          <w:p>
            <w:pPr>
              <w:spacing w:after="0"/>
              <w:jc w:val="center"/>
            </w:pPr>
            <w:r>
              <w:rPr>
                <w:color w:val="111827"/>
                <w:sz w:val="19"/>
                <w:szCs w:val="19"/>
              </w:rPr>
              <w:t xml:space="preserve">0.70</w:t>
            </w:r>
          </w:p>
        </w:tc>
      </w:tr>
      <w:tr>
        <w:tc>
          <w:tcPr>
            <w:tcW w:type="dxa" w:w="6360"/>
            <w:tcMar>
              <w:top w:type="dxa" w:w="60"/>
              <w:left w:type="dxa" w:w="100"/>
              <w:bottom w:type="dxa" w:w="60"/>
              <w:right w:type="dxa" w:w="100"/>
            </w:tcMar>
          </w:tcPr>
          <w:p>
            <w:pPr>
              <w:spacing w:after="0"/>
            </w:pPr>
            <w:r>
              <w:rPr>
                <w:color w:val="111827"/>
                <w:sz w:val="19"/>
                <w:szCs w:val="19"/>
              </w:rPr>
              <w:t xml:space="preserve">Structure with Ligand</w:t>
            </w:r>
          </w:p>
        </w:tc>
        <w:tc>
          <w:tcPr>
            <w:tcW w:type="dxa" w:w="3000"/>
            <w:tcMar>
              <w:top w:type="dxa" w:w="60"/>
              <w:left w:type="dxa" w:w="100"/>
              <w:bottom w:type="dxa" w:w="60"/>
              <w:right w:type="dxa" w:w="100"/>
            </w:tcMar>
          </w:tcPr>
          <w:p>
            <w:pPr>
              <w:spacing w:after="0"/>
              <w:jc w:val="center"/>
            </w:pPr>
            <w:r>
              <w:rPr>
                <w:color w:val="111827"/>
                <w:sz w:val="19"/>
                <w:szCs w:val="19"/>
              </w:rPr>
              <w:t xml:space="preserve">0.60</w:t>
            </w:r>
          </w:p>
        </w:tc>
      </w:tr>
      <w:tr>
        <w:tc>
          <w:tcPr>
            <w:tcW w:type="dxa" w:w="6360"/>
            <w:tcMar>
              <w:top w:type="dxa" w:w="60"/>
              <w:left w:type="dxa" w:w="100"/>
              <w:bottom w:type="dxa" w:w="60"/>
              <w:right w:type="dxa" w:w="100"/>
            </w:tcMar>
          </w:tcPr>
          <w:p>
            <w:pPr>
              <w:spacing w:after="0"/>
            </w:pPr>
            <w:r>
              <w:rPr>
                <w:color w:val="111827"/>
                <w:sz w:val="19"/>
                <w:szCs w:val="19"/>
              </w:rPr>
              <w:t xml:space="preserve">High-Quality Ligand</w:t>
            </w:r>
          </w:p>
        </w:tc>
        <w:tc>
          <w:tcPr>
            <w:tcW w:type="dxa" w:w="3000"/>
            <w:tcMar>
              <w:top w:type="dxa" w:w="60"/>
              <w:left w:type="dxa" w:w="100"/>
              <w:bottom w:type="dxa" w:w="60"/>
              <w:right w:type="dxa" w:w="100"/>
            </w:tcMar>
          </w:tcPr>
          <w:p>
            <w:pPr>
              <w:spacing w:after="0"/>
              <w:jc w:val="center"/>
            </w:pPr>
            <w:r>
              <w:rPr>
                <w:color w:val="111827"/>
                <w:sz w:val="19"/>
                <w:szCs w:val="19"/>
              </w:rPr>
              <w:t xml:space="preserve">0.60</w:t>
            </w:r>
          </w:p>
        </w:tc>
      </w:tr>
      <w:tr>
        <w:tc>
          <w:tcPr>
            <w:tcW w:type="dxa" w:w="6360"/>
            <w:tcMar>
              <w:top w:type="dxa" w:w="60"/>
              <w:left w:type="dxa" w:w="100"/>
              <w:bottom w:type="dxa" w:w="60"/>
              <w:right w:type="dxa" w:w="100"/>
            </w:tcMar>
          </w:tcPr>
          <w:p>
            <w:pPr>
              <w:spacing w:after="0"/>
            </w:pPr>
            <w:r>
              <w:rPr>
                <w:color w:val="111827"/>
                <w:sz w:val="19"/>
                <w:szCs w:val="19"/>
              </w:rPr>
              <w:t xml:space="preserve">High-Quality Pocket</w:t>
            </w:r>
          </w:p>
        </w:tc>
        <w:tc>
          <w:tcPr>
            <w:tcW w:type="dxa" w:w="3000"/>
            <w:tcMar>
              <w:top w:type="dxa" w:w="60"/>
              <w:left w:type="dxa" w:w="100"/>
              <w:bottom w:type="dxa" w:w="60"/>
              <w:right w:type="dxa" w:w="100"/>
            </w:tcMar>
          </w:tcPr>
          <w:p>
            <w:pPr>
              <w:spacing w:after="0"/>
              <w:jc w:val="center"/>
            </w:pPr>
            <w:r>
              <w:rPr>
                <w:color w:val="111827"/>
                <w:sz w:val="19"/>
                <w:szCs w:val="19"/>
              </w:rPr>
              <w:t xml:space="preserve">0.55</w:t>
            </w:r>
          </w:p>
        </w:tc>
      </w:tr>
      <w:tr>
        <w:tc>
          <w:tcPr>
            <w:tcW w:type="dxa" w:w="6360"/>
            <w:tcMar>
              <w:top w:type="dxa" w:w="60"/>
              <w:left w:type="dxa" w:w="100"/>
              <w:bottom w:type="dxa" w:w="60"/>
              <w:right w:type="dxa" w:w="100"/>
            </w:tcMar>
          </w:tcPr>
          <w:p>
            <w:pPr>
              <w:spacing w:after="0"/>
            </w:pPr>
            <w:r>
              <w:rPr>
                <w:color w:val="111827"/>
                <w:sz w:val="19"/>
                <w:szCs w:val="19"/>
              </w:rPr>
              <w:t xml:space="preserve">Small Molecule Binder</w:t>
            </w:r>
          </w:p>
        </w:tc>
        <w:tc>
          <w:tcPr>
            <w:tcW w:type="dxa" w:w="3000"/>
            <w:tcMar>
              <w:top w:type="dxa" w:w="60"/>
              <w:left w:type="dxa" w:w="100"/>
              <w:bottom w:type="dxa" w:w="60"/>
              <w:right w:type="dxa" w:w="100"/>
            </w:tcMar>
          </w:tcPr>
          <w:p>
            <w:pPr>
              <w:spacing w:after="0"/>
              <w:jc w:val="center"/>
            </w:pPr>
            <w:r>
              <w:rPr>
                <w:color w:val="111827"/>
                <w:sz w:val="19"/>
                <w:szCs w:val="19"/>
              </w:rPr>
              <w:t xml:space="preserve">0.50</w:t>
            </w:r>
          </w:p>
        </w:tc>
      </w:tr>
      <w:tr>
        <w:tc>
          <w:tcPr>
            <w:tcW w:type="dxa" w:w="6360"/>
            <w:tcMar>
              <w:top w:type="dxa" w:w="60"/>
              <w:left w:type="dxa" w:w="100"/>
              <w:bottom w:type="dxa" w:w="60"/>
              <w:right w:type="dxa" w:w="100"/>
            </w:tcMar>
          </w:tcPr>
          <w:p>
            <w:pPr>
              <w:spacing w:after="0"/>
            </w:pPr>
            <w:r>
              <w:rPr>
                <w:color w:val="111827"/>
                <w:sz w:val="19"/>
                <w:szCs w:val="19"/>
              </w:rPr>
              <w:t xml:space="preserve">Literature / location / structure hints</w:t>
            </w:r>
          </w:p>
        </w:tc>
        <w:tc>
          <w:tcPr>
            <w:tcW w:type="dxa" w:w="3000"/>
            <w:tcMar>
              <w:top w:type="dxa" w:w="60"/>
              <w:left w:type="dxa" w:w="100"/>
              <w:bottom w:type="dxa" w:w="60"/>
              <w:right w:type="dxa" w:w="100"/>
            </w:tcMar>
          </w:tcPr>
          <w:p>
            <w:pPr>
              <w:spacing w:after="0"/>
              <w:jc w:val="center"/>
            </w:pPr>
            <w:r>
              <w:rPr>
                <w:color w:val="111827"/>
                <w:sz w:val="19"/>
                <w:szCs w:val="19"/>
              </w:rPr>
              <w:t xml:space="preserve">0.30</w:t>
            </w:r>
          </w:p>
        </w:tc>
      </w:tr>
      <w:tr>
        <w:tc>
          <w:tcPr>
            <w:tcW w:type="dxa" w:w="6360"/>
            <w:tcMar>
              <w:top w:type="dxa" w:w="60"/>
              <w:left w:type="dxa" w:w="100"/>
              <w:bottom w:type="dxa" w:w="60"/>
              <w:right w:type="dxa" w:w="100"/>
            </w:tcMar>
          </w:tcPr>
          <w:p>
            <w:pPr>
              <w:spacing w:after="0"/>
            </w:pPr>
            <w:r>
              <w:rPr>
                <w:color w:val="111827"/>
                <w:sz w:val="19"/>
                <w:szCs w:val="19"/>
              </w:rPr>
              <w:t xml:space="preserve">Any other true bucket (default)</w:t>
            </w:r>
          </w:p>
        </w:tc>
        <w:tc>
          <w:tcPr>
            <w:tcW w:type="dxa" w:w="3000"/>
            <w:tcMar>
              <w:top w:type="dxa" w:w="60"/>
              <w:left w:type="dxa" w:w="100"/>
              <w:bottom w:type="dxa" w:w="60"/>
              <w:right w:type="dxa" w:w="100"/>
            </w:tcMar>
          </w:tcPr>
          <w:p>
            <w:pPr>
              <w:spacing w:after="0"/>
              <w:jc w:val="center"/>
            </w:pPr>
            <w:r>
              <w:rPr>
                <w:color w:val="111827"/>
                <w:sz w:val="19"/>
                <w:szCs w:val="19"/>
              </w:rPr>
              <w:t xml:space="preserve">0.20</w:t>
            </w:r>
          </w:p>
        </w:tc>
      </w:tr>
    </w:tbl>
    <w:p>
      <w:pPr>
        <w:pStyle w:val="Heading1"/>
        <w:spacing w:after="120" w:before="260"/>
      </w:pPr>
      <w:r>
        <w:rPr>
          <w:b/>
          <w:bCs/>
          <w:color w:val="111827"/>
          <w:sz w:val="28"/>
          <w:szCs w:val="28"/>
        </w:rPr>
        <w:t xml:space="preserve">4. S — How crowded the field is (saturation), and Room = 1 − S</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2600"/>
        <w:gridCol w:w="6760"/>
      </w:tblGrid>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What it measures</w:t>
            </w:r>
          </w:p>
        </w:tc>
        <w:tc>
          <w:tcPr>
            <w:tcW w:type="dxa" w:w="6760"/>
            <w:tcMar>
              <w:top w:type="dxa" w:w="60"/>
              <w:left w:type="dxa" w:w="100"/>
              <w:bottom w:type="dxa" w:w="60"/>
              <w:right w:type="dxa" w:w="100"/>
            </w:tcMar>
          </w:tcPr>
          <w:p>
            <w:pPr>
              <w:spacing w:after="0"/>
            </w:pPr>
            <w:r>
              <w:rPr>
                <w:color w:val="111827"/>
                <w:sz w:val="19"/>
                <w:szCs w:val="19"/>
              </w:rPr>
              <w:t xml:space="preserve">How much drug-development activity already surrounds this target. High S means crowded. We show Room, which is 1 − S, so higher always means more opportunity.</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Exact definition</w:t>
            </w:r>
          </w:p>
        </w:tc>
        <w:tc>
          <w:tcPr>
            <w:tcW w:type="dxa" w:w="6760"/>
            <w:tcMar>
              <w:top w:type="dxa" w:w="60"/>
              <w:left w:type="dxa" w:w="100"/>
              <w:bottom w:type="dxa" w:w="60"/>
              <w:right w:type="dxa" w:w="100"/>
            </w:tcMar>
          </w:tcPr>
          <w:p>
            <w:pPr>
              <w:spacing w:after="0"/>
            </w:pPr>
            <w:r>
              <w:rPr>
                <w:color w:val="111827"/>
                <w:sz w:val="19"/>
                <w:szCs w:val="19"/>
              </w:rPr>
              <w:t xml:space="preserve">The average of four crowding signals, each scaled from 0 to 1 relative to the current set of 13 targets.</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The four signals</w:t>
            </w:r>
          </w:p>
        </w:tc>
        <w:tc>
          <w:tcPr>
            <w:tcW w:type="dxa" w:w="6760"/>
            <w:tcMar>
              <w:top w:type="dxa" w:w="60"/>
              <w:left w:type="dxa" w:w="100"/>
              <w:bottom w:type="dxa" w:w="60"/>
              <w:right w:type="dxa" w:w="100"/>
            </w:tcMar>
          </w:tcPr>
          <w:p>
            <w:pPr>
              <w:spacing w:after="0"/>
            </w:pPr>
            <w:r>
              <w:rPr>
                <w:color w:val="111827"/>
                <w:sz w:val="19"/>
                <w:szCs w:val="19"/>
              </w:rPr>
              <w:t xml:space="preserve">1) approved drugs (ChEMBL, max phase 4).  2) clinical candidates (Open Targets).  3) trials (ClinicalTrials.gov, across the target's main drugs).  4) distinct industry sponsors (ClinicalTrials.gov).</w:t>
            </w:r>
          </w:p>
        </w:tc>
      </w:tr>
      <w:tr>
        <w:tc>
          <w:tcPr>
            <w:tcW w:type="dxa" w:w="2600"/>
            <w:shd w:fill="f2f4f7" w:color="auto" w:val="clear"/>
            <w:tcMar>
              <w:top w:type="dxa" w:w="60"/>
              <w:left w:type="dxa" w:w="100"/>
              <w:bottom w:type="dxa" w:w="60"/>
              <w:right w:type="dxa" w:w="100"/>
            </w:tcMar>
          </w:tcPr>
          <w:p>
            <w:pPr>
              <w:spacing w:after="0"/>
            </w:pPr>
            <w:r>
              <w:rPr>
                <w:b/>
                <w:bCs/>
                <w:color w:val="5b6472"/>
                <w:sz w:val="19"/>
                <w:szCs w:val="19"/>
              </w:rPr>
              <w:t xml:space="preserve">Scaling</w:t>
            </w:r>
          </w:p>
        </w:tc>
        <w:tc>
          <w:tcPr>
            <w:tcW w:type="dxa" w:w="6760"/>
            <w:tcMar>
              <w:top w:type="dxa" w:w="60"/>
              <w:left w:type="dxa" w:w="100"/>
              <w:bottom w:type="dxa" w:w="60"/>
              <w:right w:type="dxa" w:w="100"/>
            </w:tcMar>
          </w:tcPr>
          <w:p>
            <w:pPr>
              <w:spacing w:after="0"/>
            </w:pPr>
            <w:r>
              <w:rPr>
                <w:color w:val="111827"/>
                <w:sz w:val="19"/>
                <w:szCs w:val="19"/>
              </w:rPr>
              <w:t xml:space="preserve">Counts (2,3,4) are put on a log scale first, then all four signals are min–max scaled across the 13 targets so the busiest target is 1 and the quietest is 0. S is the average of the four scaled signals.</w:t>
            </w:r>
          </w:p>
        </w:tc>
      </w:tr>
    </w:tbl>
    <w:p>
      <w:pPr>
        <w:pStyle w:val="Heading2"/>
        <w:spacing w:after="90" w:before="200"/>
      </w:pPr>
      <w:r>
        <w:rPr>
          <w:b/>
          <w:bCs/>
          <w:color w:val="2f52c9"/>
          <w:sz w:val="24"/>
          <w:szCs w:val="24"/>
        </w:rPr>
        <w:t xml:space="preserve">Worked example: STING vs PD-1</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2760"/>
        <w:gridCol w:w="1650"/>
        <w:gridCol w:w="1650"/>
        <w:gridCol w:w="1650"/>
        <w:gridCol w:w="1650"/>
      </w:tblGrid>
      <w:tr>
        <w:trPr>
          <w:tblHeader/>
        </w:trPr>
        <w:tc>
          <w:tcPr>
            <w:tcW w:type="dxa" w:w="2760"/>
            <w:shd w:fill="2f52c9" w:color="auto" w:val="clear"/>
            <w:tcMar>
              <w:top w:type="dxa" w:w="60"/>
              <w:left w:type="dxa" w:w="100"/>
              <w:bottom w:type="dxa" w:w="60"/>
              <w:right w:type="dxa" w:w="100"/>
            </w:tcMar>
          </w:tcPr>
          <w:p>
            <w:pPr>
              <w:spacing w:after="0"/>
            </w:pPr>
            <w:r>
              <w:rPr>
                <w:b/>
                <w:bCs/>
                <w:color w:val="ffffff"/>
                <w:sz w:val="19"/>
                <w:szCs w:val="19"/>
              </w:rPr>
              <w:t xml:space="preserve">Signal (scaled 0–1)</w:t>
            </w:r>
          </w:p>
        </w:tc>
        <w:tc>
          <w:tcPr>
            <w:tcW w:type="dxa" w:w="1650"/>
            <w:shd w:fill="2f52c9" w:color="auto" w:val="clear"/>
            <w:tcMar>
              <w:top w:type="dxa" w:w="60"/>
              <w:left w:type="dxa" w:w="100"/>
              <w:bottom w:type="dxa" w:w="60"/>
              <w:right w:type="dxa" w:w="100"/>
            </w:tcMar>
          </w:tcPr>
          <w:p>
            <w:pPr>
              <w:spacing w:after="0"/>
            </w:pPr>
            <w:r>
              <w:rPr>
                <w:b/>
                <w:bCs/>
                <w:color w:val="ffffff"/>
                <w:sz w:val="19"/>
                <w:szCs w:val="19"/>
              </w:rPr>
              <w:t xml:space="preserve">Approved</w:t>
            </w:r>
          </w:p>
        </w:tc>
        <w:tc>
          <w:tcPr>
            <w:tcW w:type="dxa" w:w="1650"/>
            <w:shd w:fill="2f52c9" w:color="auto" w:val="clear"/>
            <w:tcMar>
              <w:top w:type="dxa" w:w="60"/>
              <w:left w:type="dxa" w:w="100"/>
              <w:bottom w:type="dxa" w:w="60"/>
              <w:right w:type="dxa" w:w="100"/>
            </w:tcMar>
          </w:tcPr>
          <w:p>
            <w:pPr>
              <w:spacing w:after="0"/>
            </w:pPr>
            <w:r>
              <w:rPr>
                <w:b/>
                <w:bCs/>
                <w:color w:val="ffffff"/>
                <w:sz w:val="19"/>
                <w:szCs w:val="19"/>
              </w:rPr>
              <w:t xml:space="preserve">Candidates</w:t>
            </w:r>
          </w:p>
        </w:tc>
        <w:tc>
          <w:tcPr>
            <w:tcW w:type="dxa" w:w="1650"/>
            <w:shd w:fill="2f52c9" w:color="auto" w:val="clear"/>
            <w:tcMar>
              <w:top w:type="dxa" w:w="60"/>
              <w:left w:type="dxa" w:w="100"/>
              <w:bottom w:type="dxa" w:w="60"/>
              <w:right w:type="dxa" w:w="100"/>
            </w:tcMar>
          </w:tcPr>
          <w:p>
            <w:pPr>
              <w:spacing w:after="0"/>
            </w:pPr>
            <w:r>
              <w:rPr>
                <w:b/>
                <w:bCs/>
                <w:color w:val="ffffff"/>
                <w:sz w:val="19"/>
                <w:szCs w:val="19"/>
              </w:rPr>
              <w:t xml:space="preserve">Trials</w:t>
            </w:r>
          </w:p>
        </w:tc>
        <w:tc>
          <w:tcPr>
            <w:tcW w:type="dxa" w:w="1650"/>
            <w:shd w:fill="2f52c9" w:color="auto" w:val="clear"/>
            <w:tcMar>
              <w:top w:type="dxa" w:w="60"/>
              <w:left w:type="dxa" w:w="100"/>
              <w:bottom w:type="dxa" w:w="60"/>
              <w:right w:type="dxa" w:w="100"/>
            </w:tcMar>
          </w:tcPr>
          <w:p>
            <w:pPr>
              <w:spacing w:after="0"/>
            </w:pPr>
            <w:r>
              <w:rPr>
                <w:b/>
                <w:bCs/>
                <w:color w:val="ffffff"/>
                <w:sz w:val="19"/>
                <w:szCs w:val="19"/>
              </w:rPr>
              <w:t xml:space="preserve">Sponsors</w:t>
            </w:r>
          </w:p>
        </w:tc>
      </w:tr>
      <w:tr>
        <w:tc>
          <w:tcPr>
            <w:tcW w:type="dxa" w:w="2760"/>
            <w:tcMar>
              <w:top w:type="dxa" w:w="60"/>
              <w:left w:type="dxa" w:w="100"/>
              <w:bottom w:type="dxa" w:w="60"/>
              <w:right w:type="dxa" w:w="100"/>
            </w:tcMar>
          </w:tcPr>
          <w:p>
            <w:pPr>
              <w:spacing w:after="0"/>
            </w:pPr>
            <w:r>
              <w:rPr>
                <w:b/>
                <w:bCs/>
                <w:color w:val="111827"/>
                <w:sz w:val="19"/>
                <w:szCs w:val="19"/>
              </w:rPr>
              <w:t xml:space="preserve">STING (TMEM173)</w:t>
            </w:r>
          </w:p>
        </w:tc>
        <w:tc>
          <w:tcPr>
            <w:tcW w:type="dxa" w:w="1650"/>
            <w:tcMar>
              <w:top w:type="dxa" w:w="60"/>
              <w:left w:type="dxa" w:w="100"/>
              <w:bottom w:type="dxa" w:w="60"/>
              <w:right w:type="dxa" w:w="100"/>
            </w:tcMar>
          </w:tcPr>
          <w:p>
            <w:pPr>
              <w:spacing w:after="0"/>
              <w:jc w:val="center"/>
            </w:pPr>
            <w:r>
              <w:rPr>
                <w:color w:val="111827"/>
                <w:sz w:val="19"/>
                <w:szCs w:val="19"/>
              </w:rPr>
              <w:t xml:space="preserve">0.00</w:t>
            </w:r>
          </w:p>
        </w:tc>
        <w:tc>
          <w:tcPr>
            <w:tcW w:type="dxa" w:w="1650"/>
            <w:tcMar>
              <w:top w:type="dxa" w:w="60"/>
              <w:left w:type="dxa" w:w="100"/>
              <w:bottom w:type="dxa" w:w="60"/>
              <w:right w:type="dxa" w:w="100"/>
            </w:tcMar>
          </w:tcPr>
          <w:p>
            <w:pPr>
              <w:spacing w:after="0"/>
              <w:jc w:val="center"/>
            </w:pPr>
            <w:r>
              <w:rPr>
                <w:color w:val="111827"/>
                <w:sz w:val="19"/>
                <w:szCs w:val="19"/>
              </w:rPr>
              <w:t xml:space="preserve">0.21</w:t>
            </w:r>
          </w:p>
        </w:tc>
        <w:tc>
          <w:tcPr>
            <w:tcW w:type="dxa" w:w="1650"/>
            <w:tcMar>
              <w:top w:type="dxa" w:w="60"/>
              <w:left w:type="dxa" w:w="100"/>
              <w:bottom w:type="dxa" w:w="60"/>
              <w:right w:type="dxa" w:w="100"/>
            </w:tcMar>
          </w:tcPr>
          <w:p>
            <w:pPr>
              <w:spacing w:after="0"/>
              <w:jc w:val="center"/>
            </w:pPr>
            <w:r>
              <w:rPr>
                <w:color w:val="111827"/>
                <w:sz w:val="19"/>
                <w:szCs w:val="19"/>
              </w:rPr>
              <w:t xml:space="preserve">0.16</w:t>
            </w:r>
          </w:p>
        </w:tc>
        <w:tc>
          <w:tcPr>
            <w:tcW w:type="dxa" w:w="1650"/>
            <w:tcMar>
              <w:top w:type="dxa" w:w="60"/>
              <w:left w:type="dxa" w:w="100"/>
              <w:bottom w:type="dxa" w:w="60"/>
              <w:right w:type="dxa" w:w="100"/>
            </w:tcMar>
          </w:tcPr>
          <w:p>
            <w:pPr>
              <w:spacing w:after="0"/>
              <w:jc w:val="center"/>
            </w:pPr>
            <w:r>
              <w:rPr>
                <w:color w:val="111827"/>
                <w:sz w:val="19"/>
                <w:szCs w:val="19"/>
              </w:rPr>
              <w:t xml:space="preserve">0.29</w:t>
            </w:r>
          </w:p>
        </w:tc>
      </w:tr>
      <w:tr>
        <w:tc>
          <w:tcPr>
            <w:tcW w:type="dxa" w:w="2760"/>
            <w:tcMar>
              <w:top w:type="dxa" w:w="60"/>
              <w:left w:type="dxa" w:w="100"/>
              <w:bottom w:type="dxa" w:w="60"/>
              <w:right w:type="dxa" w:w="100"/>
            </w:tcMar>
          </w:tcPr>
          <w:p>
            <w:pPr>
              <w:spacing w:after="0"/>
            </w:pPr>
            <w:r>
              <w:rPr>
                <w:b/>
                <w:bCs/>
                <w:color w:val="111827"/>
                <w:sz w:val="19"/>
                <w:szCs w:val="19"/>
              </w:rPr>
              <w:t xml:space="preserve">PD-1 (PDCD1)</w:t>
            </w:r>
          </w:p>
        </w:tc>
        <w:tc>
          <w:tcPr>
            <w:tcW w:type="dxa" w:w="1650"/>
            <w:tcMar>
              <w:top w:type="dxa" w:w="60"/>
              <w:left w:type="dxa" w:w="100"/>
              <w:bottom w:type="dxa" w:w="60"/>
              <w:right w:type="dxa" w:w="100"/>
            </w:tcMar>
          </w:tcPr>
          <w:p>
            <w:pPr>
              <w:spacing w:after="0"/>
              <w:jc w:val="center"/>
            </w:pPr>
            <w:r>
              <w:rPr>
                <w:color w:val="111827"/>
                <w:sz w:val="19"/>
                <w:szCs w:val="19"/>
              </w:rPr>
              <w:t xml:space="preserve">1.00</w:t>
            </w:r>
          </w:p>
        </w:tc>
        <w:tc>
          <w:tcPr>
            <w:tcW w:type="dxa" w:w="1650"/>
            <w:tcMar>
              <w:top w:type="dxa" w:w="60"/>
              <w:left w:type="dxa" w:w="100"/>
              <w:bottom w:type="dxa" w:w="60"/>
              <w:right w:type="dxa" w:w="100"/>
            </w:tcMar>
          </w:tcPr>
          <w:p>
            <w:pPr>
              <w:spacing w:after="0"/>
              <w:jc w:val="center"/>
            </w:pPr>
            <w:r>
              <w:rPr>
                <w:color w:val="111827"/>
                <w:sz w:val="19"/>
                <w:szCs w:val="19"/>
              </w:rPr>
              <w:t xml:space="preserve">1.00</w:t>
            </w:r>
          </w:p>
        </w:tc>
        <w:tc>
          <w:tcPr>
            <w:tcW w:type="dxa" w:w="1650"/>
            <w:tcMar>
              <w:top w:type="dxa" w:w="60"/>
              <w:left w:type="dxa" w:w="100"/>
              <w:bottom w:type="dxa" w:w="60"/>
              <w:right w:type="dxa" w:w="100"/>
            </w:tcMar>
          </w:tcPr>
          <w:p>
            <w:pPr>
              <w:spacing w:after="0"/>
              <w:jc w:val="center"/>
            </w:pPr>
            <w:r>
              <w:rPr>
                <w:color w:val="111827"/>
                <w:sz w:val="19"/>
                <w:szCs w:val="19"/>
              </w:rPr>
              <w:t xml:space="preserve">1.00</w:t>
            </w:r>
          </w:p>
        </w:tc>
        <w:tc>
          <w:tcPr>
            <w:tcW w:type="dxa" w:w="1650"/>
            <w:tcMar>
              <w:top w:type="dxa" w:w="60"/>
              <w:left w:type="dxa" w:w="100"/>
              <w:bottom w:type="dxa" w:w="60"/>
              <w:right w:type="dxa" w:w="100"/>
            </w:tcMar>
          </w:tcPr>
          <w:p>
            <w:pPr>
              <w:spacing w:after="0"/>
              <w:jc w:val="center"/>
            </w:pPr>
            <w:r>
              <w:rPr>
                <w:color w:val="111827"/>
                <w:sz w:val="19"/>
                <w:szCs w:val="19"/>
              </w:rPr>
              <w:t xml:space="preserve">1.00</w:t>
            </w:r>
          </w:p>
        </w:tc>
      </w:tr>
    </w:tbl>
    <w:p>
      <w:pPr>
        <w:spacing w:after="120" w:line="276"/>
      </w:pPr>
      <w:r>
        <w:rPr>
          <w:color w:val="111827"/>
          <w:sz w:val="21"/>
          <w:szCs w:val="21"/>
        </w:rPr>
        <w:t xml:space="preserve"/>
      </w:r>
    </w:p>
    <w:p>
      <w:pPr>
        <w:pStyle w:val="ListParagraph"/>
        <w:numPr>
          <w:ilvl w:val="0"/>
          <w:numId w:val="1"/>
        </w:numPr>
        <w:spacing w:after="60"/>
      </w:pPr>
      <w:r>
        <w:rPr>
          <w:color w:val="111827"/>
          <w:sz w:val="21"/>
          <w:szCs w:val="21"/>
        </w:rPr>
        <w:t xml:space="preserve">STING: S = (0.00 + 0.21 + 0.16 + 0.29) / 4 = 0.164, so Room = 0.836. Very little activity, lots of room.</w:t>
      </w:r>
    </w:p>
    <w:p>
      <w:pPr>
        <w:pStyle w:val="ListParagraph"/>
        <w:numPr>
          <w:ilvl w:val="0"/>
          <w:numId w:val="1"/>
        </w:numPr>
        <w:spacing w:after="60"/>
      </w:pPr>
      <w:r>
        <w:rPr>
          <w:color w:val="111827"/>
          <w:sz w:val="21"/>
          <w:szCs w:val="21"/>
        </w:rPr>
        <w:t xml:space="preserve">PD-1: highest on all four signals, so each scales to 1.0. S = 1.0, Room = 0.0. It is the most crowded target and sits at the floor by construction.</w:t>
      </w:r>
    </w:p>
    <w:p>
      <w:pPr>
        <w:pBdr>
          <w:left w:val="single" w:color="b42318" w:sz="18"/>
        </w:pBdr>
        <w:shd w:fill="fdeeee" w:color="auto" w:val="clear"/>
        <w:spacing w:after="120" w:before="120"/>
      </w:pPr>
      <w:r>
        <w:rPr>
          <w:b/>
          <w:bCs/>
          <w:color w:val="111827"/>
          <w:sz w:val="21"/>
          <w:szCs w:val="21"/>
        </w:rPr>
        <w:t xml:space="preserve">Two things reviewers must know about S. </w:t>
      </w:r>
      <w:r>
        <w:rPr>
          <w:color w:val="111827"/>
          <w:sz w:val="21"/>
          <w:szCs w:val="21"/>
        </w:rPr>
        <w:t xml:space="preserve">First, it is relative to the current cohort of 13 targets. A target's Room can change if we add or remove targets, because the scaling re-centers. It ranks crowding within a set; it is not an absolute measure. Second, trial and sponsor counts come from the target's named drugs, so a very early target with no named drug yet (for example CBL-B or HPK1) reads as zero crowding. That is a floor, not a proven truth, and we mark those targets 'Some data gaps'.</w:t>
      </w:r>
    </w:p>
    <w:p>
      <w:pPr>
        <w:pStyle w:val="Heading1"/>
        <w:spacing w:after="120" w:before="260"/>
      </w:pPr>
      <w:r>
        <w:rPr>
          <w:b/>
          <w:bCs/>
          <w:color w:val="111827"/>
          <w:sz w:val="28"/>
          <w:szCs w:val="28"/>
        </w:rPr>
        <w:t xml:space="preserve">5. The tags: Open, Some room, Crowded, Benchmark</w:t>
      </w:r>
    </w:p>
    <w:p>
      <w:pPr>
        <w:spacing w:after="120" w:line="276"/>
      </w:pPr>
      <w:r>
        <w:rPr>
          <w:color w:val="111827"/>
          <w:sz w:val="21"/>
          <w:szCs w:val="21"/>
        </w:rPr>
        <w:t xml:space="preserve">Tags are not separate math. We rank all targets by opportunity, then split the ranking into thirds. The single most crowded target is labelled Benchmark, because it is our calibration anchor.</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2600"/>
        <w:gridCol w:w="2600"/>
        <w:gridCol w:w="4160"/>
      </w:tblGrid>
      <w:tr>
        <w:trPr>
          <w:tblHeader/>
        </w:trPr>
        <w:tc>
          <w:tcPr>
            <w:tcW w:type="dxa" w:w="2600"/>
            <w:shd w:fill="2f52c9" w:color="auto" w:val="clear"/>
            <w:tcMar>
              <w:top w:type="dxa" w:w="60"/>
              <w:left w:type="dxa" w:w="100"/>
              <w:bottom w:type="dxa" w:w="60"/>
              <w:right w:type="dxa" w:w="100"/>
            </w:tcMar>
          </w:tcPr>
          <w:p>
            <w:pPr>
              <w:spacing w:after="0"/>
            </w:pPr>
            <w:r>
              <w:rPr>
                <w:b/>
                <w:bCs/>
                <w:color w:val="ffffff"/>
                <w:sz w:val="19"/>
                <w:szCs w:val="19"/>
              </w:rPr>
              <w:t xml:space="preserve">Tag</w:t>
            </w:r>
          </w:p>
        </w:tc>
        <w:tc>
          <w:tcPr>
            <w:tcW w:type="dxa" w:w="2600"/>
            <w:shd w:fill="2f52c9" w:color="auto" w:val="clear"/>
            <w:tcMar>
              <w:top w:type="dxa" w:w="60"/>
              <w:left w:type="dxa" w:w="100"/>
              <w:bottom w:type="dxa" w:w="60"/>
              <w:right w:type="dxa" w:w="100"/>
            </w:tcMar>
          </w:tcPr>
          <w:p>
            <w:pPr>
              <w:spacing w:after="0"/>
            </w:pPr>
            <w:r>
              <w:rPr>
                <w:b/>
                <w:bCs/>
                <w:color w:val="ffffff"/>
                <w:sz w:val="19"/>
                <w:szCs w:val="19"/>
              </w:rPr>
              <w:t xml:space="preserve">Rank (of 13)</w:t>
            </w:r>
          </w:p>
        </w:tc>
        <w:tc>
          <w:tcPr>
            <w:tcW w:type="dxa" w:w="4160"/>
            <w:shd w:fill="2f52c9" w:color="auto" w:val="clear"/>
            <w:tcMar>
              <w:top w:type="dxa" w:w="60"/>
              <w:left w:type="dxa" w:w="100"/>
              <w:bottom w:type="dxa" w:w="60"/>
              <w:right w:type="dxa" w:w="100"/>
            </w:tcMar>
          </w:tcPr>
          <w:p>
            <w:pPr>
              <w:spacing w:after="0"/>
            </w:pPr>
            <w:r>
              <w:rPr>
                <w:b/>
                <w:bCs/>
                <w:color w:val="ffffff"/>
                <w:sz w:val="19"/>
                <w:szCs w:val="19"/>
              </w:rPr>
              <w:t xml:space="preserve">Meaning</w:t>
            </w:r>
          </w:p>
        </w:tc>
      </w:tr>
      <w:tr>
        <w:tc>
          <w:tcPr>
            <w:tcW w:type="dxa" w:w="2600"/>
            <w:tcMar>
              <w:top w:type="dxa" w:w="60"/>
              <w:left w:type="dxa" w:w="100"/>
              <w:bottom w:type="dxa" w:w="60"/>
              <w:right w:type="dxa" w:w="100"/>
            </w:tcMar>
          </w:tcPr>
          <w:p>
            <w:pPr>
              <w:spacing w:after="0"/>
            </w:pPr>
            <w:r>
              <w:rPr>
                <w:b/>
                <w:bCs/>
                <w:color w:val="087443"/>
                <w:sz w:val="19"/>
                <w:szCs w:val="19"/>
              </w:rPr>
              <w:t xml:space="preserve">Open</w:t>
            </w:r>
          </w:p>
        </w:tc>
        <w:tc>
          <w:tcPr>
            <w:tcW w:type="dxa" w:w="2600"/>
            <w:tcMar>
              <w:top w:type="dxa" w:w="60"/>
              <w:left w:type="dxa" w:w="100"/>
              <w:bottom w:type="dxa" w:w="60"/>
              <w:right w:type="dxa" w:w="100"/>
            </w:tcMar>
          </w:tcPr>
          <w:p>
            <w:pPr>
              <w:spacing w:after="0"/>
            </w:pPr>
            <w:r>
              <w:rPr>
                <w:color w:val="111827"/>
                <w:sz w:val="19"/>
                <w:szCs w:val="19"/>
              </w:rPr>
              <w:t xml:space="preserve">1 to 4 (top third)</w:t>
            </w:r>
          </w:p>
        </w:tc>
        <w:tc>
          <w:tcPr>
            <w:tcW w:type="dxa" w:w="4160"/>
            <w:tcMar>
              <w:top w:type="dxa" w:w="60"/>
              <w:left w:type="dxa" w:w="100"/>
              <w:bottom w:type="dxa" w:w="60"/>
              <w:right w:type="dxa" w:w="100"/>
            </w:tcMar>
          </w:tcPr>
          <w:p>
            <w:pPr>
              <w:spacing w:after="0"/>
            </w:pPr>
            <w:r>
              <w:rPr>
                <w:color w:val="111827"/>
                <w:sz w:val="19"/>
                <w:szCs w:val="19"/>
              </w:rPr>
              <w:t xml:space="preserve">Validated, druggable, and comparatively uncrowded.</w:t>
            </w:r>
          </w:p>
        </w:tc>
      </w:tr>
      <w:tr>
        <w:tc>
          <w:tcPr>
            <w:tcW w:type="dxa" w:w="2600"/>
            <w:tcMar>
              <w:top w:type="dxa" w:w="60"/>
              <w:left w:type="dxa" w:w="100"/>
              <w:bottom w:type="dxa" w:w="60"/>
              <w:right w:type="dxa" w:w="100"/>
            </w:tcMar>
          </w:tcPr>
          <w:p>
            <w:pPr>
              <w:spacing w:after="0"/>
            </w:pPr>
            <w:r>
              <w:rPr>
                <w:b/>
                <w:bCs/>
                <w:color w:val="b45309"/>
                <w:sz w:val="19"/>
                <w:szCs w:val="19"/>
              </w:rPr>
              <w:t xml:space="preserve">Some room</w:t>
            </w:r>
          </w:p>
        </w:tc>
        <w:tc>
          <w:tcPr>
            <w:tcW w:type="dxa" w:w="2600"/>
            <w:tcMar>
              <w:top w:type="dxa" w:w="60"/>
              <w:left w:type="dxa" w:w="100"/>
              <w:bottom w:type="dxa" w:w="60"/>
              <w:right w:type="dxa" w:w="100"/>
            </w:tcMar>
          </w:tcPr>
          <w:p>
            <w:pPr>
              <w:spacing w:after="0"/>
            </w:pPr>
            <w:r>
              <w:rPr>
                <w:color w:val="111827"/>
                <w:sz w:val="19"/>
                <w:szCs w:val="19"/>
              </w:rPr>
              <w:t xml:space="preserve">5 to 8 (middle third)</w:t>
            </w:r>
          </w:p>
        </w:tc>
        <w:tc>
          <w:tcPr>
            <w:tcW w:type="dxa" w:w="4160"/>
            <w:tcMar>
              <w:top w:type="dxa" w:w="60"/>
              <w:left w:type="dxa" w:w="100"/>
              <w:bottom w:type="dxa" w:w="60"/>
              <w:right w:type="dxa" w:w="100"/>
            </w:tcMar>
          </w:tcPr>
          <w:p>
            <w:pPr>
              <w:spacing w:after="0"/>
            </w:pPr>
            <w:r>
              <w:rPr>
                <w:color w:val="111827"/>
                <w:sz w:val="19"/>
                <w:szCs w:val="19"/>
              </w:rPr>
              <w:t xml:space="preserve">Real biology with a moderate amount of competition.</w:t>
            </w:r>
          </w:p>
        </w:tc>
      </w:tr>
      <w:tr>
        <w:tc>
          <w:tcPr>
            <w:tcW w:type="dxa" w:w="2600"/>
            <w:tcMar>
              <w:top w:type="dxa" w:w="60"/>
              <w:left w:type="dxa" w:w="100"/>
              <w:bottom w:type="dxa" w:w="60"/>
              <w:right w:type="dxa" w:w="100"/>
            </w:tcMar>
          </w:tcPr>
          <w:p>
            <w:pPr>
              <w:spacing w:after="0"/>
            </w:pPr>
            <w:r>
              <w:rPr>
                <w:b/>
                <w:bCs/>
                <w:color w:val="9a6a00"/>
                <w:sz w:val="19"/>
                <w:szCs w:val="19"/>
              </w:rPr>
              <w:t xml:space="preserve">Crowded</w:t>
            </w:r>
          </w:p>
        </w:tc>
        <w:tc>
          <w:tcPr>
            <w:tcW w:type="dxa" w:w="2600"/>
            <w:tcMar>
              <w:top w:type="dxa" w:w="60"/>
              <w:left w:type="dxa" w:w="100"/>
              <w:bottom w:type="dxa" w:w="60"/>
              <w:right w:type="dxa" w:w="100"/>
            </w:tcMar>
          </w:tcPr>
          <w:p>
            <w:pPr>
              <w:spacing w:after="0"/>
            </w:pPr>
            <w:r>
              <w:rPr>
                <w:color w:val="111827"/>
                <w:sz w:val="19"/>
                <w:szCs w:val="19"/>
              </w:rPr>
              <w:t xml:space="preserve">9 to 12 (bottom third)</w:t>
            </w:r>
          </w:p>
        </w:tc>
        <w:tc>
          <w:tcPr>
            <w:tcW w:type="dxa" w:w="4160"/>
            <w:tcMar>
              <w:top w:type="dxa" w:w="60"/>
              <w:left w:type="dxa" w:w="100"/>
              <w:bottom w:type="dxa" w:w="60"/>
              <w:right w:type="dxa" w:w="100"/>
            </w:tcMar>
          </w:tcPr>
          <w:p>
            <w:pPr>
              <w:spacing w:after="0"/>
            </w:pPr>
            <w:r>
              <w:rPr>
                <w:color w:val="111827"/>
                <w:sz w:val="19"/>
                <w:szCs w:val="19"/>
              </w:rPr>
              <w:t xml:space="preserve">Heavily worked, little room left.</w:t>
            </w:r>
          </w:p>
        </w:tc>
      </w:tr>
      <w:tr>
        <w:tc>
          <w:tcPr>
            <w:tcW w:type="dxa" w:w="2600"/>
            <w:tcMar>
              <w:top w:type="dxa" w:w="60"/>
              <w:left w:type="dxa" w:w="100"/>
              <w:bottom w:type="dxa" w:w="60"/>
              <w:right w:type="dxa" w:w="100"/>
            </w:tcMar>
          </w:tcPr>
          <w:p>
            <w:pPr>
              <w:spacing w:after="0"/>
            </w:pPr>
            <w:r>
              <w:rPr>
                <w:b/>
                <w:bCs/>
                <w:color w:val="5b6472"/>
                <w:sz w:val="19"/>
                <w:szCs w:val="19"/>
              </w:rPr>
              <w:t xml:space="preserve">Benchmark</w:t>
            </w:r>
          </w:p>
        </w:tc>
        <w:tc>
          <w:tcPr>
            <w:tcW w:type="dxa" w:w="2600"/>
            <w:tcMar>
              <w:top w:type="dxa" w:w="60"/>
              <w:left w:type="dxa" w:w="100"/>
              <w:bottom w:type="dxa" w:w="60"/>
              <w:right w:type="dxa" w:w="100"/>
            </w:tcMar>
          </w:tcPr>
          <w:p>
            <w:pPr>
              <w:spacing w:after="0"/>
            </w:pPr>
            <w:r>
              <w:rPr>
                <w:color w:val="111827"/>
                <w:sz w:val="19"/>
                <w:szCs w:val="19"/>
              </w:rPr>
              <w:t xml:space="preserve">13 (last)</w:t>
            </w:r>
          </w:p>
        </w:tc>
        <w:tc>
          <w:tcPr>
            <w:tcW w:type="dxa" w:w="4160"/>
            <w:tcMar>
              <w:top w:type="dxa" w:w="60"/>
              <w:left w:type="dxa" w:w="100"/>
              <w:bottom w:type="dxa" w:w="60"/>
              <w:right w:type="dxa" w:w="100"/>
            </w:tcMar>
          </w:tcPr>
          <w:p>
            <w:pPr>
              <w:spacing w:after="0"/>
            </w:pPr>
            <w:r>
              <w:rPr>
                <w:color w:val="111827"/>
                <w:sz w:val="19"/>
                <w:szCs w:val="19"/>
              </w:rPr>
              <w:t xml:space="preserve">The most crowded target (PD-1). Used to calibrate the score, not offered as an opening.</w:t>
            </w:r>
          </w:p>
        </w:tc>
      </w:tr>
    </w:tbl>
    <w:p>
      <w:pPr>
        <w:spacing w:after="120" w:line="276"/>
      </w:pPr>
      <w:r>
        <w:rPr>
          <w:color w:val="111827"/>
          <w:sz w:val="21"/>
          <w:szCs w:val="21"/>
        </w:rPr>
        <w:t xml:space="preserve"/>
      </w:r>
    </w:p>
    <w:p>
      <w:pPr>
        <w:spacing w:after="120" w:line="276"/>
      </w:pPr>
      <w:r>
        <w:rPr>
          <w:color w:val="111827"/>
          <w:sz w:val="21"/>
          <w:szCs w:val="21"/>
        </w:rPr>
        <w:t xml:space="preserve">Assumption: these are relative tiers within the cohort, not fixed score bands. With 13 targets the cut points are ranks 4 and 8. If you would prefer fixed bands (for example, score above 45 is always Open), that is a one-line change and a question for you below.</w:t>
      </w:r>
    </w:p>
    <w:p>
      <w:r>
        <w:br w:type="page"/>
      </w:r>
    </w:p>
    <w:p>
      <w:pPr>
        <w:pStyle w:val="Heading1"/>
        <w:spacing w:after="120" w:before="260"/>
      </w:pPr>
      <w:r>
        <w:rPr>
          <w:b/>
          <w:bCs/>
          <w:color w:val="111827"/>
          <w:sz w:val="28"/>
          <w:szCs w:val="28"/>
        </w:rPr>
        <w:t xml:space="preserve">6. The Score check tab: how we test the score</w:t>
      </w:r>
    </w:p>
    <w:p>
      <w:pPr>
        <w:spacing w:after="120" w:line="276"/>
      </w:pPr>
      <w:r>
        <w:rPr>
          <w:color w:val="111827"/>
          <w:sz w:val="21"/>
          <w:szCs w:val="21"/>
        </w:rPr>
        <w:t xml:space="preserve">A formula on its own is just an opinion. The Score check tab shows a back-test that asks whether the score behaves the way it should. We fixed the expectations before computing any ranks, so we could not tune the score to pass.</w:t>
      </w:r>
    </w:p>
    <w:p>
      <w:pPr>
        <w:spacing w:after="120" w:line="276"/>
      </w:pPr>
      <w:r>
        <w:rPr>
          <w:color w:val="111827"/>
          <w:sz w:val="21"/>
          <w:szCs w:val="21"/>
        </w:rPr>
        <w:t xml:space="preserve">Method, in plain terms: we recount clinical activity as it stood at a cutoff date, 1 July 2023, about two years before the current data. This lets us check whether the crowding signal reflects real, historical activity rather than noise.</w:t>
      </w:r>
    </w:p>
    <w:p>
      <w:pPr>
        <w:pStyle w:val="Heading2"/>
        <w:spacing w:after="90" w:before="200"/>
      </w:pPr>
      <w:r>
        <w:rPr>
          <w:b/>
          <w:bCs/>
          <w:color w:val="2f52c9"/>
          <w:sz w:val="24"/>
          <w:szCs w:val="24"/>
        </w:rPr>
        <w:t xml:space="preserve">Two hard gates. If either fails, the score is not trustworthy.</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1100"/>
        <w:gridCol w:w="5960"/>
        <w:gridCol w:w="2300"/>
      </w:tblGrid>
      <w:tr>
        <w:trPr>
          <w:tblHeader/>
        </w:trPr>
        <w:tc>
          <w:tcPr>
            <w:tcW w:type="dxa" w:w="1100"/>
            <w:shd w:fill="2f52c9"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5960"/>
            <w:shd w:fill="2f52c9" w:color="auto" w:val="clear"/>
            <w:tcMar>
              <w:top w:type="dxa" w:w="60"/>
              <w:left w:type="dxa" w:w="100"/>
              <w:bottom w:type="dxa" w:w="60"/>
              <w:right w:type="dxa" w:w="100"/>
            </w:tcMar>
          </w:tcPr>
          <w:p>
            <w:pPr>
              <w:spacing w:after="0"/>
            </w:pPr>
            <w:r>
              <w:rPr>
                <w:b/>
                <w:bCs/>
                <w:color w:val="ffffff"/>
                <w:sz w:val="19"/>
                <w:szCs w:val="19"/>
              </w:rPr>
              <w:t xml:space="preserve">What it requires</w:t>
            </w:r>
          </w:p>
        </w:tc>
        <w:tc>
          <w:tcPr>
            <w:tcW w:type="dxa" w:w="2300"/>
            <w:shd w:fill="2f52c9" w:color="auto" w:val="clear"/>
            <w:tcMar>
              <w:top w:type="dxa" w:w="60"/>
              <w:left w:type="dxa" w:w="100"/>
              <w:bottom w:type="dxa" w:w="60"/>
              <w:right w:type="dxa" w:w="100"/>
            </w:tcMar>
          </w:tcPr>
          <w:p>
            <w:pPr>
              <w:spacing w:after="0"/>
            </w:pPr>
            <w:r>
              <w:rPr>
                <w:b/>
                <w:bCs/>
                <w:color w:val="ffffff"/>
                <w:sz w:val="19"/>
                <w:szCs w:val="19"/>
              </w:rPr>
              <w:t xml:space="preserve">Result</w:t>
            </w:r>
          </w:p>
        </w:tc>
      </w:tr>
      <w:tr>
        <w:tc>
          <w:tcPr>
            <w:tcW w:type="dxa" w:w="1100"/>
            <w:tcMar>
              <w:top w:type="dxa" w:w="60"/>
              <w:left w:type="dxa" w:w="100"/>
              <w:bottom w:type="dxa" w:w="60"/>
              <w:right w:type="dxa" w:w="100"/>
            </w:tcMar>
          </w:tcPr>
          <w:p>
            <w:pPr>
              <w:spacing w:after="0"/>
            </w:pPr>
            <w:r>
              <w:rPr>
                <w:b/>
                <w:bCs/>
                <w:color w:val="111827"/>
                <w:sz w:val="19"/>
                <w:szCs w:val="19"/>
              </w:rPr>
              <w:t xml:space="preserve">C1</w:t>
            </w:r>
          </w:p>
        </w:tc>
        <w:tc>
          <w:tcPr>
            <w:tcW w:type="dxa" w:w="5960"/>
            <w:tcMar>
              <w:top w:type="dxa" w:w="60"/>
              <w:left w:type="dxa" w:w="100"/>
              <w:bottom w:type="dxa" w:w="60"/>
              <w:right w:type="dxa" w:w="100"/>
            </w:tcMar>
          </w:tcPr>
          <w:p>
            <w:pPr>
              <w:spacing w:after="0"/>
            </w:pPr>
            <w:r>
              <w:rPr>
                <w:color w:val="111827"/>
                <w:sz w:val="19"/>
                <w:szCs w:val="19"/>
              </w:rPr>
              <w:t xml:space="preserve">PD-1, the most-drugged checkpoint, must land at the bottom (the saturated floor).</w:t>
            </w:r>
          </w:p>
        </w:tc>
        <w:tc>
          <w:tcPr>
            <w:tcW w:type="dxa" w:w="2300"/>
            <w:tcMar>
              <w:top w:type="dxa" w:w="60"/>
              <w:left w:type="dxa" w:w="100"/>
              <w:bottom w:type="dxa" w:w="60"/>
              <w:right w:type="dxa" w:w="100"/>
            </w:tcMar>
          </w:tcPr>
          <w:p>
            <w:r>
              <w:rPr>
                <w:b/>
                <w:bCs/>
                <w:color w:val="087443"/>
                <w:sz w:val="19"/>
                <w:szCs w:val="19"/>
              </w:rPr>
              <w:t xml:space="preserve">PASS</w:t>
            </w:r>
          </w:p>
          <w:p>
            <w:r>
              <w:rPr>
                <w:color w:val="5b6472"/>
                <w:sz w:val="17"/>
                <w:szCs w:val="17"/>
              </w:rPr>
              <w:t xml:space="preserve">rank 13/13, score 0.0</w:t>
            </w:r>
          </w:p>
        </w:tc>
      </w:tr>
      <w:tr>
        <w:tc>
          <w:tcPr>
            <w:tcW w:type="dxa" w:w="1100"/>
            <w:tcMar>
              <w:top w:type="dxa" w:w="60"/>
              <w:left w:type="dxa" w:w="100"/>
              <w:bottom w:type="dxa" w:w="60"/>
              <w:right w:type="dxa" w:w="100"/>
            </w:tcMar>
          </w:tcPr>
          <w:p>
            <w:pPr>
              <w:spacing w:after="0"/>
            </w:pPr>
            <w:r>
              <w:rPr>
                <w:b/>
                <w:bCs/>
                <w:color w:val="111827"/>
                <w:sz w:val="19"/>
                <w:szCs w:val="19"/>
              </w:rPr>
              <w:t xml:space="preserve">C4</w:t>
            </w:r>
          </w:p>
        </w:tc>
        <w:tc>
          <w:tcPr>
            <w:tcW w:type="dxa" w:w="5960"/>
            <w:tcMar>
              <w:top w:type="dxa" w:w="60"/>
              <w:left w:type="dxa" w:w="100"/>
              <w:bottom w:type="dxa" w:w="60"/>
              <w:right w:type="dxa" w:w="100"/>
            </w:tcMar>
          </w:tcPr>
          <w:p>
            <w:pPr>
              <w:spacing w:after="0"/>
            </w:pPr>
            <w:r>
              <w:rPr>
                <w:color w:val="111827"/>
                <w:sz w:val="19"/>
                <w:szCs w:val="19"/>
              </w:rPr>
              <w:t xml:space="preserve">The crowding signal S must track real trial volume: S correlates with the number of trials that existed at the cutoff.</w:t>
            </w:r>
          </w:p>
        </w:tc>
        <w:tc>
          <w:tcPr>
            <w:tcW w:type="dxa" w:w="2300"/>
            <w:tcMar>
              <w:top w:type="dxa" w:w="60"/>
              <w:left w:type="dxa" w:w="100"/>
              <w:bottom w:type="dxa" w:w="60"/>
              <w:right w:type="dxa" w:w="100"/>
            </w:tcMar>
          </w:tcPr>
          <w:p>
            <w:r>
              <w:rPr>
                <w:b/>
                <w:bCs/>
                <w:color w:val="087443"/>
                <w:sz w:val="19"/>
                <w:szCs w:val="19"/>
              </w:rPr>
              <w:t xml:space="preserve">PASS</w:t>
            </w:r>
          </w:p>
          <w:p>
            <w:r>
              <w:rPr>
                <w:color w:val="5b6472"/>
                <w:sz w:val="17"/>
                <w:szCs w:val="17"/>
              </w:rPr>
              <w:t xml:space="preserve">correlation r = 0.98</w:t>
            </w:r>
          </w:p>
        </w:tc>
      </w:tr>
    </w:tbl>
    <w:p>
      <w:pPr>
        <w:spacing w:after="120" w:line="276"/>
      </w:pPr>
      <w:r>
        <w:rPr>
          <w:color w:val="111827"/>
          <w:sz w:val="21"/>
          <w:szCs w:val="21"/>
        </w:rPr>
        <w:t xml:space="preserve"/>
      </w:r>
    </w:p>
    <w:p>
      <w:pPr>
        <w:pStyle w:val="Heading2"/>
        <w:spacing w:after="90" w:before="200"/>
      </w:pPr>
      <w:r>
        <w:rPr>
          <w:b/>
          <w:bCs/>
          <w:color w:val="2f52c9"/>
          <w:sz w:val="24"/>
          <w:szCs w:val="24"/>
        </w:rPr>
        <w:t xml:space="preserve">Two expectations. Priors we held, which the data is allowed to overturn.</w:t>
      </w:r>
    </w:p>
    <w:tbl>
      <w:tblPr>
        <w:tblW w:type="dxa" w:w="9360"/>
        <w:tblBorders>
          <w:top w:val="single" w:color="d7dbe0" w:sz="2"/>
          <w:left w:val="single" w:color="d7dbe0" w:sz="2"/>
          <w:bottom w:val="single" w:color="d7dbe0" w:sz="2"/>
          <w:right w:val="single" w:color="d7dbe0" w:sz="2"/>
          <w:insideH w:val="single" w:color="eaecef" w:sz="2"/>
          <w:insideV w:val="single" w:color="eaecef" w:sz="2"/>
        </w:tblBorders>
      </w:tblPr>
      <w:tblGrid>
        <w:gridCol w:w="1100"/>
        <w:gridCol w:w="5960"/>
        <w:gridCol w:w="2300"/>
      </w:tblGrid>
      <w:tr>
        <w:trPr>
          <w:tblHeader/>
        </w:trPr>
        <w:tc>
          <w:tcPr>
            <w:tcW w:type="dxa" w:w="1100"/>
            <w:shd w:fill="2f52c9"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5960"/>
            <w:shd w:fill="2f52c9" w:color="auto" w:val="clear"/>
            <w:tcMar>
              <w:top w:type="dxa" w:w="60"/>
              <w:left w:type="dxa" w:w="100"/>
              <w:bottom w:type="dxa" w:w="60"/>
              <w:right w:type="dxa" w:w="100"/>
            </w:tcMar>
          </w:tcPr>
          <w:p>
            <w:pPr>
              <w:spacing w:after="0"/>
            </w:pPr>
            <w:r>
              <w:rPr>
                <w:b/>
                <w:bCs/>
                <w:color w:val="ffffff"/>
                <w:sz w:val="19"/>
                <w:szCs w:val="19"/>
              </w:rPr>
              <w:t xml:space="preserve">What we expected</w:t>
            </w:r>
          </w:p>
        </w:tc>
        <w:tc>
          <w:tcPr>
            <w:tcW w:type="dxa" w:w="2300"/>
            <w:shd w:fill="2f52c9" w:color="auto" w:val="clear"/>
            <w:tcMar>
              <w:top w:type="dxa" w:w="60"/>
              <w:left w:type="dxa" w:w="100"/>
              <w:bottom w:type="dxa" w:w="60"/>
              <w:right w:type="dxa" w:w="100"/>
            </w:tcMar>
          </w:tcPr>
          <w:p>
            <w:pPr>
              <w:spacing w:after="0"/>
            </w:pPr>
            <w:r>
              <w:rPr>
                <w:b/>
                <w:bCs/>
                <w:color w:val="ffffff"/>
                <w:sz w:val="19"/>
                <w:szCs w:val="19"/>
              </w:rPr>
              <w:t xml:space="preserve">Result</w:t>
            </w:r>
          </w:p>
        </w:tc>
      </w:tr>
      <w:tr>
        <w:tc>
          <w:tcPr>
            <w:tcW w:type="dxa" w:w="1100"/>
            <w:tcMar>
              <w:top w:type="dxa" w:w="60"/>
              <w:left w:type="dxa" w:w="100"/>
              <w:bottom w:type="dxa" w:w="60"/>
              <w:right w:type="dxa" w:w="100"/>
            </w:tcMar>
          </w:tcPr>
          <w:p>
            <w:pPr>
              <w:spacing w:after="0"/>
            </w:pPr>
            <w:r>
              <w:rPr>
                <w:b/>
                <w:bCs/>
                <w:color w:val="111827"/>
                <w:sz w:val="19"/>
                <w:szCs w:val="19"/>
              </w:rPr>
              <w:t xml:space="preserve">C3</w:t>
            </w:r>
          </w:p>
        </w:tc>
        <w:tc>
          <w:tcPr>
            <w:tcW w:type="dxa" w:w="5960"/>
            <w:tcMar>
              <w:top w:type="dxa" w:w="60"/>
              <w:left w:type="dxa" w:w="100"/>
              <w:bottom w:type="dxa" w:w="60"/>
              <w:right w:type="dxa" w:w="100"/>
            </w:tcMar>
          </w:tcPr>
          <w:p>
            <w:pPr>
              <w:spacing w:after="0"/>
            </w:pPr>
            <w:r>
              <w:rPr>
                <w:color w:val="111827"/>
                <w:sz w:val="19"/>
                <w:szCs w:val="19"/>
              </w:rPr>
              <w:t xml:space="preserve">At least one validated but uncrowded target (TIM-3, STING, or CD40) should rank in the top third.</w:t>
            </w:r>
          </w:p>
        </w:tc>
        <w:tc>
          <w:tcPr>
            <w:tcW w:type="dxa" w:w="2300"/>
            <w:tcMar>
              <w:top w:type="dxa" w:w="60"/>
              <w:left w:type="dxa" w:w="100"/>
              <w:bottom w:type="dxa" w:w="60"/>
              <w:right w:type="dxa" w:w="100"/>
            </w:tcMar>
          </w:tcPr>
          <w:p>
            <w:r>
              <w:rPr>
                <w:b/>
                <w:bCs/>
                <w:color w:val="087443"/>
                <w:sz w:val="19"/>
                <w:szCs w:val="19"/>
              </w:rPr>
              <w:t xml:space="preserve">PASS</w:t>
            </w:r>
          </w:p>
          <w:p>
            <w:r>
              <w:rPr>
                <w:color w:val="5b6472"/>
                <w:sz w:val="17"/>
                <w:szCs w:val="17"/>
              </w:rPr>
              <w:t xml:space="preserve">STING 1, TIM-3 2, CD40 4</w:t>
            </w:r>
          </w:p>
        </w:tc>
      </w:tr>
      <w:tr>
        <w:tc>
          <w:tcPr>
            <w:tcW w:type="dxa" w:w="1100"/>
            <w:tcMar>
              <w:top w:type="dxa" w:w="60"/>
              <w:left w:type="dxa" w:w="100"/>
              <w:bottom w:type="dxa" w:w="60"/>
              <w:right w:type="dxa" w:w="100"/>
            </w:tcMar>
          </w:tcPr>
          <w:p>
            <w:pPr>
              <w:spacing w:after="0"/>
            </w:pPr>
            <w:r>
              <w:rPr>
                <w:b/>
                <w:bCs/>
                <w:color w:val="111827"/>
                <w:sz w:val="19"/>
                <w:szCs w:val="19"/>
              </w:rPr>
              <w:t xml:space="preserve">C2</w:t>
            </w:r>
          </w:p>
        </w:tc>
        <w:tc>
          <w:tcPr>
            <w:tcW w:type="dxa" w:w="5960"/>
            <w:tcMar>
              <w:top w:type="dxa" w:w="60"/>
              <w:left w:type="dxa" w:w="100"/>
              <w:bottom w:type="dxa" w:w="60"/>
              <w:right w:type="dxa" w:w="100"/>
            </w:tcMar>
          </w:tcPr>
          <w:p>
            <w:pPr>
              <w:spacing w:after="0"/>
            </w:pPr>
            <w:r>
              <w:rPr>
                <w:color w:val="111827"/>
                <w:sz w:val="19"/>
                <w:szCs w:val="19"/>
              </w:rPr>
              <w:t xml:space="preserve">The mature checkpoints PD-L1 and CTLA4 should both rank in the bottom third.</w:t>
            </w:r>
          </w:p>
        </w:tc>
        <w:tc>
          <w:tcPr>
            <w:tcW w:type="dxa" w:w="2300"/>
            <w:tcMar>
              <w:top w:type="dxa" w:w="60"/>
              <w:left w:type="dxa" w:w="100"/>
              <w:bottom w:type="dxa" w:w="60"/>
              <w:right w:type="dxa" w:w="100"/>
            </w:tcMar>
          </w:tcPr>
          <w:p>
            <w:r>
              <w:rPr>
                <w:b/>
                <w:bCs/>
                <w:color w:val="b42318"/>
                <w:sz w:val="19"/>
                <w:szCs w:val="19"/>
              </w:rPr>
              <w:t xml:space="preserve">FALSIFIED</w:t>
            </w:r>
          </w:p>
          <w:p>
            <w:r>
              <w:rPr>
                <w:color w:val="5b6472"/>
                <w:sz w:val="17"/>
                <w:szCs w:val="17"/>
              </w:rPr>
              <w:t xml:space="preserve">CTLA4 ranked 7</w:t>
            </w:r>
          </w:p>
        </w:tc>
      </w:tr>
    </w:tbl>
    <w:p>
      <w:pPr>
        <w:spacing w:after="120" w:line="276"/>
      </w:pPr>
      <w:r>
        <w:rPr>
          <w:color w:val="111827"/>
          <w:sz w:val="21"/>
          <w:szCs w:val="21"/>
        </w:rPr>
        <w:t xml:space="preserve"/>
      </w:r>
    </w:p>
    <w:p>
      <w:pPr>
        <w:pBdr>
          <w:left w:val="single" w:color="2f52c9" w:sz="18"/>
        </w:pBdr>
        <w:shd w:fill="eef2fd" w:color="auto" w:val="clear"/>
        <w:spacing w:after="120"/>
      </w:pPr>
      <w:r>
        <w:rPr>
          <w:b/>
          <w:bCs/>
          <w:color w:val="111827"/>
          <w:sz w:val="21"/>
          <w:szCs w:val="21"/>
        </w:rPr>
        <w:t xml:space="preserve">Why we kept a failed check in the product. </w:t>
      </w:r>
      <w:r>
        <w:rPr>
          <w:color w:val="111827"/>
          <w:sz w:val="21"/>
          <w:szCs w:val="21"/>
        </w:rPr>
        <w:t xml:space="preserve">C2 was wrong, and the way it was wrong is useful. CTLA4 has only 2 approved drugs, versus 7 for PD-1 and 5 for PD-L1, so it is genuinely less crowded and correctly ranked in the middle. The score corrected our assumption instead of flattering it. Showing this openly is what earns a scientist's trust, so we leave it visible rather than hide it.</w:t>
      </w:r>
    </w:p>
    <w:p>
      <w:pPr>
        <w:pStyle w:val="Heading1"/>
        <w:spacing w:after="120" w:before="260"/>
      </w:pPr>
      <w:r>
        <w:rPr>
          <w:b/>
          <w:bCs/>
          <w:color w:val="111827"/>
          <w:sz w:val="28"/>
          <w:szCs w:val="28"/>
        </w:rPr>
        <w:t xml:space="preserve">7. Known limitations, stated plainly</w:t>
      </w:r>
    </w:p>
    <w:p>
      <w:pPr>
        <w:pStyle w:val="ListParagraph"/>
        <w:numPr>
          <w:ilvl w:val="0"/>
          <w:numId w:val="1"/>
        </w:numPr>
        <w:spacing w:after="60"/>
      </w:pPr>
      <w:r>
        <w:rPr>
          <w:color w:val="111827"/>
          <w:sz w:val="21"/>
          <w:szCs w:val="21"/>
        </w:rPr>
        <w:t xml:space="preserve">Saturation is cohort-relative. Room is scaled within the current 13 targets, so it ranks crowding inside this set and is not an absolute measure. Adding targets can shift the numbers.</w:t>
      </w:r>
    </w:p>
    <w:p>
      <w:pPr>
        <w:pStyle w:val="ListParagraph"/>
        <w:numPr>
          <w:ilvl w:val="0"/>
          <w:numId w:val="1"/>
        </w:numPr>
        <w:spacing w:after="60"/>
      </w:pPr>
      <w:r>
        <w:rPr>
          <w:color w:val="111827"/>
          <w:sz w:val="21"/>
          <w:szCs w:val="21"/>
        </w:rPr>
        <w:t xml:space="preserve">The tractability weights are our judgement, not a source. The bucket-to-weight table in section 3 is a heuristic and is open to revision.</w:t>
      </w:r>
    </w:p>
    <w:p>
      <w:pPr>
        <w:pStyle w:val="ListParagraph"/>
        <w:numPr>
          <w:ilvl w:val="0"/>
          <w:numId w:val="1"/>
        </w:numPr>
        <w:spacing w:after="60"/>
      </w:pPr>
      <w:r>
        <w:rPr>
          <w:color w:val="111827"/>
          <w:sz w:val="21"/>
          <w:szCs w:val="21"/>
        </w:rPr>
        <w:t xml:space="preserve">Approvals come from ChEMBL, not directly from the regulators. ChEMBL counts 7 approved PD-1 drugs; Open Targets counts 11 including China approvals. For an authoritative 'what is approved' claim we should read FDA and EMA directly. This is on the roadmap.</w:t>
      </w:r>
    </w:p>
    <w:p>
      <w:pPr>
        <w:pStyle w:val="ListParagraph"/>
        <w:numPr>
          <w:ilvl w:val="0"/>
          <w:numId w:val="1"/>
        </w:numPr>
        <w:spacing w:after="60"/>
      </w:pPr>
      <w:r>
        <w:rPr>
          <w:color w:val="111827"/>
          <w:sz w:val="21"/>
          <w:szCs w:val="21"/>
        </w:rPr>
        <w:t xml:space="preserve">Early targets read as zero crowding. Trial and sponsor counts come from named drugs, so a target with no named drug yet looks empty. That is a floor, not a truth, and those targets are marked with lower confidence.</w:t>
      </w:r>
    </w:p>
    <w:p>
      <w:pPr>
        <w:pStyle w:val="ListParagraph"/>
        <w:numPr>
          <w:ilvl w:val="0"/>
          <w:numId w:val="1"/>
        </w:numPr>
        <w:spacing w:after="60"/>
      </w:pPr>
      <w:r>
        <w:rPr>
          <w:color w:val="111827"/>
          <w:sz w:val="21"/>
          <w:szCs w:val="21"/>
        </w:rPr>
        <w:t xml:space="preserve">Validation uses one disease link. V is the single strongest target–disease association, not a blend across diseases.</w:t>
      </w:r>
    </w:p>
    <w:p>
      <w:pPr>
        <w:pStyle w:val="ListParagraph"/>
        <w:numPr>
          <w:ilvl w:val="0"/>
          <w:numId w:val="1"/>
        </w:numPr>
        <w:spacing w:after="60"/>
      </w:pPr>
      <w:r>
        <w:rPr>
          <w:color w:val="111827"/>
          <w:sz w:val="21"/>
          <w:szCs w:val="21"/>
        </w:rPr>
        <w:t xml:space="preserve">It is a within-area ranking. Scores compare targets inside immuno-oncology. They are not yet comparable across different therapeutic areas.</w:t>
      </w:r>
    </w:p>
    <w:p>
      <w:pPr>
        <w:pStyle w:val="Heading1"/>
        <w:spacing w:after="120" w:before="260"/>
      </w:pPr>
      <w:r>
        <w:rPr>
          <w:b/>
          <w:bCs/>
          <w:color w:val="111827"/>
          <w:sz w:val="28"/>
          <w:szCs w:val="28"/>
        </w:rPr>
        <w:t xml:space="preserve">8. Open questions for you</w:t>
      </w:r>
    </w:p>
    <w:p>
      <w:pPr>
        <w:spacing w:after="120" w:line="276"/>
      </w:pPr>
      <w:r>
        <w:rPr>
          <w:b/>
          <w:bCs/>
          <w:color w:val="111827"/>
          <w:sz w:val="21"/>
          <w:szCs w:val="21"/>
        </w:rPr>
        <w:t xml:space="preserve">These are the specific choices behind the numbers. Your answers change the formula. Please comment directly on any of them.</w:t>
      </w:r>
    </w:p>
    <w:p>
      <w:pPr>
        <w:pStyle w:val="ListParagraph"/>
        <w:numPr>
          <w:ilvl w:val="0"/>
          <w:numId w:val="1"/>
        </w:numPr>
        <w:spacing w:after="60"/>
      </w:pPr>
      <w:r>
        <w:rPr>
          <w:color w:val="111827"/>
          <w:sz w:val="21"/>
          <w:szCs w:val="21"/>
        </w:rPr>
        <w:t xml:space="preserve">Q1. Validation (V): is the single strongest disease association the right measure, or should we blend the top few, or cap it?</w:t>
      </w:r>
    </w:p>
    <w:p>
      <w:pPr>
        <w:pStyle w:val="ListParagraph"/>
        <w:numPr>
          <w:ilvl w:val="0"/>
          <w:numId w:val="1"/>
        </w:numPr>
        <w:spacing w:after="60"/>
      </w:pPr>
      <w:r>
        <w:rPr>
          <w:color w:val="111827"/>
          <w:sz w:val="21"/>
          <w:szCs w:val="21"/>
        </w:rPr>
        <w:t xml:space="preserve">Q2. Tractability (T): are the bucket weights in section 3 sensible? Should tractability be modality-specific (small molecule vs antibody) rather than a single best bucket?</w:t>
      </w:r>
    </w:p>
    <w:p>
      <w:pPr>
        <w:pStyle w:val="ListParagraph"/>
        <w:numPr>
          <w:ilvl w:val="0"/>
          <w:numId w:val="1"/>
        </w:numPr>
        <w:spacing w:after="60"/>
      </w:pPr>
      <w:r>
        <w:rPr>
          <w:color w:val="111827"/>
          <w:sz w:val="21"/>
          <w:szCs w:val="21"/>
        </w:rPr>
        <w:t xml:space="preserve">Q3. Saturation (S): should crowding be absolute rather than cohort-relative? And should the four signals (approvals, candidates, trials, sponsors) be weighted equally, or does one matter more?</w:t>
      </w:r>
    </w:p>
    <w:p>
      <w:pPr>
        <w:pStyle w:val="ListParagraph"/>
        <w:numPr>
          <w:ilvl w:val="0"/>
          <w:numId w:val="1"/>
        </w:numPr>
        <w:spacing w:after="60"/>
      </w:pPr>
      <w:r>
        <w:rPr>
          <w:color w:val="111827"/>
          <w:sz w:val="21"/>
          <w:szCs w:val="21"/>
        </w:rPr>
        <w:t xml:space="preserve">Q4. Tags: relative thirds, or fixed score bands (for example, above 45 is Open)?</w:t>
      </w:r>
    </w:p>
    <w:p>
      <w:pPr>
        <w:pStyle w:val="ListParagraph"/>
        <w:numPr>
          <w:ilvl w:val="0"/>
          <w:numId w:val="1"/>
        </w:numPr>
        <w:spacing w:after="60"/>
      </w:pPr>
      <w:r>
        <w:rPr>
          <w:color w:val="111827"/>
          <w:sz w:val="21"/>
          <w:szCs w:val="21"/>
        </w:rPr>
        <w:t xml:space="preserve">Q5. The overall shape: is multiply-the-three the right model, or would you weight the three parts differently?</w:t>
      </w:r>
    </w:p>
    <w:p>
      <w:pPr>
        <w:pStyle w:val="ListParagraph"/>
        <w:numPr>
          <w:ilvl w:val="0"/>
          <w:numId w:val="1"/>
        </w:numPr>
        <w:spacing w:after="60"/>
      </w:pPr>
      <w:r>
        <w:rPr>
          <w:color w:val="111827"/>
          <w:sz w:val="21"/>
          <w:szCs w:val="21"/>
        </w:rPr>
        <w:t xml:space="preserve">Q6. Sources: which to add first for authority (FDA, EMA, Pharos) and for early signal (patents, earnings, publications)?</w:t>
      </w:r>
    </w:p>
    <w:p>
      <w:pPr>
        <w:pStyle w:val="ListParagraph"/>
        <w:numPr>
          <w:ilvl w:val="0"/>
          <w:numId w:val="1"/>
        </w:numPr>
        <w:spacing w:after="60"/>
      </w:pPr>
      <w:r>
        <w:rPr>
          <w:color w:val="111827"/>
          <w:sz w:val="21"/>
          <w:szCs w:val="21"/>
        </w:rPr>
        <w:t xml:space="preserve">Q7. Confidence: what should drop a target from 'Strong data' to 'Some data gaps', and how should that show in the score?</w:t>
      </w:r>
    </w:p>
    <w:p>
      <w:pPr>
        <w:spacing w:after="120" w:line="276"/>
      </w:pPr>
      <w:r>
        <w:rPr>
          <w:color w:val="111827"/>
          <w:sz w:val="21"/>
          <w:szCs w:val="21"/>
        </w:rPr>
        <w:t xml:space="preserve"/>
      </w:r>
    </w:p>
    <w:p>
      <w:pPr>
        <w:spacing w:after="120" w:line="276"/>
      </w:pPr>
      <w:r>
        <w:rPr>
          <w:i/>
          <w:iCs/>
          <w:color w:val="5b6472"/>
          <w:sz w:val="21"/>
          <w:szCs w:val="21"/>
        </w:rPr>
        <w:t xml:space="preserve">Every number in the app links to its exact source with the data version and date. If a value ever looks wrong, click through and it will show you precisely where it came from.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2026-07-24T16:21:29.997Z</dcterms:created>
  <dcterms:modified xsi:type="dcterms:W3CDTF">2026-07-24T16:21:30.012Z</dcterms:modified>
</cp:coreProperties>
</file>

<file path=docProps/custom.xml><?xml version="1.0" encoding="utf-8"?>
<Properties xmlns="http://schemas.openxmlformats.org/officeDocument/2006/custom-properties" xmlns:vt="http://schemas.openxmlformats.org/officeDocument/2006/docPropsVTypes"/>
</file>