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Yu Gothic"/>
          <w:b/>
          <w:sz w:val="30"/>
        </w:rPr>
        <w:t>iFont: 視覚と聴覚の明瞭度を文字単位で対応づけるインクルーシブ字幕の枠組み ―競技かるたの決まり字の聞き分けを対象として―</w:t>
      </w:r>
    </w:p>
    <w:p>
      <w:pPr>
        <w:jc w:val="center"/>
      </w:pPr>
      <w:r>
        <w:rPr>
          <w:rFonts w:ascii="Times New Roman" w:hAnsi="Times New Roman" w:eastAsia="Yu Mincho"/>
          <w:b w:val="0"/>
          <w:sz w:val="22"/>
        </w:rPr>
        <w:t>iFont: An Inclusive Captioning Framework that Maps Visual and Auditory Intelligibility at the Character Level, with Competitive Karuta as the Target Domain</w:t>
      </w:r>
    </w:p>
    <w:p>
      <w:pPr>
        <w:jc w:val="center"/>
      </w:pPr>
      <w:r>
        <w:rPr>
          <w:rFonts w:ascii="Times New Roman" w:hAnsi="Times New Roman" w:eastAsia="Yu Mincho"/>
          <w:b w:val="0"/>
          <w:sz w:val="22"/>
        </w:rPr>
        <w:t>丸山礼華　栗原一貴</w:t>
      </w:r>
    </w:p>
    <w:p>
      <w:pPr>
        <w:jc w:val="center"/>
      </w:pPr>
      <w:r>
        <w:rPr>
          <w:rFonts w:ascii="Times New Roman" w:hAnsi="Times New Roman" w:eastAsia="Yu Mincho"/>
          <w:b w:val="0"/>
          <w:sz w:val="19"/>
        </w:rPr>
        <w:t>津田塾大学（所属は投稿時に確定）</w:t>
      </w:r>
    </w:p>
    <w:p>
      <w:pPr>
        <w:spacing w:after="40"/>
      </w:pPr>
    </w:p>
    <w:p>
      <w:pPr>
        <w:spacing w:before="100" w:after="60"/>
      </w:pPr>
      <w:r>
        <w:rPr>
          <w:rFonts w:ascii="Arial" w:hAnsi="Arial" w:eastAsia="Yu Gothic"/>
          <w:b/>
          <w:sz w:val="20"/>
        </w:rPr>
        <w:t>概要</w:t>
      </w:r>
    </w:p>
    <w:p>
      <w:pPr>
        <w:spacing w:after="60" w:before="0" w:line="312" w:lineRule="auto"/>
        <w:ind w:firstLine="180"/>
        <w:jc w:val="both"/>
      </w:pPr>
      <w:r>
        <w:rPr>
          <w:rFonts w:ascii="Times New Roman" w:hAnsi="Times New Roman" w:eastAsia="Yu Mincho"/>
          <w:b w:val="0"/>
          <w:sz w:val="18"/>
        </w:rPr>
        <w:t>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新規の提示法を公平に比較し，競技かるたに加えて早押しクイズの字幕への一般化を目指す．</w:t>
      </w:r>
    </w:p>
    <w:p>
      <w:pPr>
        <w:spacing w:after="120" w:before="0" w:line="312" w:lineRule="auto"/>
        <w:jc w:val="both"/>
      </w:pPr>
      <w:r>
        <w:rPr>
          <w:rFonts w:ascii="Times New Roman" w:hAnsi="Times New Roman" w:eastAsia="Yu Mincho"/>
          <w:b w:val="0"/>
          <w:sz w:val="17"/>
        </w:rPr>
        <w:t>キーワード: インクルーシブ字幕，情報保障，心理物理学，時間ゲート提示，競技かるた</w:t>
      </w:r>
    </w:p>
    <w:p>
      <w:pPr>
        <w:spacing w:before="100" w:after="60"/>
      </w:pPr>
      <w:r>
        <w:rPr>
          <w:rFonts w:ascii="Arial" w:hAnsi="Arial" w:eastAsia="Yu Gothic"/>
          <w:b/>
          <w:sz w:val="20"/>
        </w:rPr>
        <w:t>Abstract</w:t>
      </w:r>
    </w:p>
    <w:p>
      <w:pPr>
        <w:spacing w:after="60" w:before="0" w:line="312" w:lineRule="auto"/>
        <w:ind w:firstLine="180"/>
        <w:jc w:val="both"/>
      </w:pPr>
      <w:r>
        <w:rPr>
          <w:rFonts w:ascii="Times New Roman" w:hAnsi="Times New Roman" w:eastAsia="Times New Roman"/>
          <w:b w:val="0"/>
          <w:sz w:val="18"/>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pPr>
        <w:spacing w:after="160" w:before="0" w:line="312" w:lineRule="auto"/>
        <w:jc w:val="both"/>
      </w:pPr>
      <w:r>
        <w:rPr>
          <w:rFonts w:ascii="Times New Roman" w:hAnsi="Times New Roman" w:eastAsia="Times New Roman"/>
          <w:b w:val="0"/>
          <w:sz w:val="17"/>
        </w:rPr>
        <w:t>Keywords: inclusive captioning, accessibility, psychophysics, time-gated presentation, competitive karuta</w:t>
      </w:r>
    </w:p>
    <w:p>
      <w:pPr>
        <w:sectPr>
          <w:pgSz w:w="11906" w:h="16838"/>
          <w:pgMar w:top="1134" w:right="1020" w:bottom="1134" w:left="1020" w:header="720" w:footer="720" w:gutter="0"/>
          <w:cols w:space="454" w:num="1" w:equalWidth="1"/>
          <w:docGrid w:linePitch="360"/>
        </w:sectPr>
      </w:pPr>
    </w:p>
    <w:p>
      <w:pPr>
        <w:spacing w:before="160" w:after="60"/>
      </w:pPr>
      <w:r>
        <w:rPr>
          <w:rFonts w:ascii="Arial" w:hAnsi="Arial" w:eastAsia="Yu Gothic"/>
          <w:b/>
          <w:sz w:val="22"/>
        </w:rPr>
        <w:t>1. はじめに</w:t>
      </w:r>
    </w:p>
    <w:p>
      <w:pPr>
        <w:spacing w:after="80" w:before="0" w:line="312" w:lineRule="auto"/>
        <w:ind w:firstLine="180"/>
        <w:jc w:val="both"/>
      </w:pPr>
      <w:r>
        <w:rPr>
          <w:rFonts w:ascii="Times New Roman" w:hAnsi="Times New Roman" w:eastAsia="Yu Mincho"/>
          <w:b w:val="0"/>
          <w:sz w:val="18"/>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pPr>
        <w:spacing w:after="80" w:before="0" w:line="312" w:lineRule="auto"/>
        <w:ind w:firstLine="180"/>
        <w:jc w:val="both"/>
      </w:pPr>
      <w:r>
        <w:rPr>
          <w:rFonts w:ascii="Times New Roman" w:hAnsi="Times New Roman" w:eastAsia="Yu Mincho"/>
          <w:b w:val="0"/>
          <w:sz w:val="18"/>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pPr>
        <w:spacing w:after="80" w:before="0" w:line="312" w:lineRule="auto"/>
        <w:ind w:firstLine="180"/>
        <w:jc w:val="both"/>
      </w:pPr>
      <w:r>
        <w:rPr>
          <w:rFonts w:ascii="Times New Roman" w:hAnsi="Times New Roman" w:eastAsia="Yu Mincho"/>
          <w:b w:val="0"/>
          <w:sz w:val="18"/>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pPr>
        <w:spacing w:after="80" w:before="0" w:line="312" w:lineRule="auto"/>
        <w:ind w:firstLine="180"/>
        <w:jc w:val="both"/>
      </w:pPr>
      <w:r>
        <w:rPr>
          <w:rFonts w:ascii="Times New Roman" w:hAnsi="Times New Roman" w:eastAsia="Yu Mincho"/>
          <w:b w:val="0"/>
          <w:sz w:val="18"/>
        </w:rPr>
        <w:t>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2386247"/>
            <wp:docPr id="1" name="Picture 1"/>
            <wp:cNvGraphicFramePr>
              <a:graphicFrameLocks noChangeAspect="1"/>
            </wp:cNvGraphicFramePr>
            <a:graphic>
              <a:graphicData uri="http://schemas.openxmlformats.org/drawingml/2006/picture">
                <pic:pic>
                  <pic:nvPicPr>
                    <pic:cNvPr id="0" name="fig_concept.png"/>
                    <pic:cNvPicPr/>
                  </pic:nvPicPr>
                  <pic:blipFill>
                    <a:blip r:embed="rId9"/>
                    <a:stretch>
                      <a:fillRect/>
                    </a:stretch>
                  </pic:blipFill>
                  <pic:spPr>
                    <a:xfrm>
                      <a:off x="0" y="0"/>
                      <a:ext cx="5688000" cy="2386247"/>
                    </a:xfrm>
                    <a:prstGeom prst="rect"/>
                  </pic:spPr>
                </pic:pic>
              </a:graphicData>
            </a:graphic>
          </wp:inline>
        </w:drawing>
      </w:r>
    </w:p>
    <w:p>
      <w:pPr>
        <w:spacing w:after="120" w:before="40"/>
        <w:jc w:val="center"/>
      </w:pPr>
      <w:r>
        <w:rPr>
          <w:rFonts w:ascii="Times New Roman" w:hAnsi="Times New Roman" w:eastAsia="Yu Mincho"/>
          <w:b w:val="0"/>
          <w:sz w:val="17"/>
        </w:rPr>
        <w:t>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pPr>
        <w:sectPr>
          <w:type w:val="continuous"/>
          <w:pgSz w:w="11906" w:h="16838"/>
          <w:pgMar w:top="1134" w:right="1020" w:bottom="1134" w:left="1020" w:header="720" w:footer="720" w:gutter="0"/>
          <w:cols w:space="454" w:num="1" w:equalWidth="1"/>
          <w:docGrid w:linePitch="360"/>
        </w:sectPr>
      </w:pPr>
    </w:p>
    <w:p>
      <w:pPr>
        <w:spacing w:after="80" w:before="0" w:line="312" w:lineRule="auto"/>
        <w:ind w:firstLine="180"/>
        <w:jc w:val="both"/>
      </w:pPr>
      <w:r>
        <w:rPr>
          <w:rFonts w:ascii="Times New Roman" w:hAnsi="Times New Roman" w:eastAsia="Yu Mincho"/>
          <w:b w:val="0"/>
          <w:sz w:val="18"/>
        </w:rPr>
        <w:t>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pPr>
        <w:spacing w:after="80" w:before="0" w:line="312" w:lineRule="auto"/>
        <w:ind w:firstLine="180"/>
        <w:jc w:val="both"/>
      </w:pPr>
      <w:r>
        <w:rPr>
          <w:rFonts w:ascii="Times New Roman" w:hAnsi="Times New Roman" w:eastAsia="Yu Mincho"/>
          <w:b w:val="0"/>
          <w:sz w:val="18"/>
        </w:rPr>
        <w:t>以上を踏まえ，本論文の貢献は以下の3点である．</w:t>
      </w:r>
    </w:p>
    <w:p>
      <w:pPr>
        <w:spacing w:after="80" w:before="0" w:line="312" w:lineRule="auto"/>
        <w:jc w:val="both"/>
      </w:pPr>
      <w:r>
        <w:rPr>
          <w:rFonts w:ascii="Times New Roman" w:hAnsi="Times New Roman" w:eastAsia="Yu Mincho"/>
          <w:b w:val="0"/>
          <w:sz w:val="18"/>
        </w:rPr>
        <w:t>(1) 視覚と聴覚の明瞭度を，文字を単位として同一の尺度で対応づける変換 g という枠組みを提案する点．両モダリティの明瞭度を文字単位で対応づけた先行研究は乏しく，ここに新規性がある．</w:t>
      </w:r>
    </w:p>
    <w:p>
      <w:pPr>
        <w:spacing w:after="80" w:before="0" w:line="312" w:lineRule="auto"/>
        <w:jc w:val="both"/>
      </w:pPr>
      <w:r>
        <w:rPr>
          <w:rFonts w:ascii="Times New Roman" w:hAnsi="Times New Roman" w:eastAsia="Yu Mincho"/>
          <w:b w:val="0"/>
          <w:sz w:val="18"/>
        </w:rPr>
        <w:t>(2) 聴覚の時間ゲート(断片提示)に対応する視覚の時間ゲート提示を導入し，明瞭度に対する認識率の心理測定関数を，実績のある提示法・数理モデルを踏襲・ベースライン化しつつ直接実測する方法を与える点．</w:t>
      </w:r>
    </w:p>
    <w:p>
      <w:pPr>
        <w:spacing w:after="80" w:before="0" w:line="312" w:lineRule="auto"/>
        <w:jc w:val="both"/>
      </w:pPr>
      <w:r>
        <w:rPr>
          <w:rFonts w:ascii="Times New Roman" w:hAnsi="Times New Roman" w:eastAsia="Yu Mincho"/>
          <w:b w:val="0"/>
          <w:sz w:val="18"/>
        </w:rPr>
        <w:t>(3) 以上の枠組みを，競技かるたに加えて早押しクイズという，娯楽と情報保障にまたがる応用へ展開する点．</w:t>
      </w:r>
    </w:p>
    <w:p>
      <w:pPr>
        <w:spacing w:after="80" w:before="0" w:line="312" w:lineRule="auto"/>
        <w:ind w:firstLine="180"/>
        <w:jc w:val="both"/>
      </w:pPr>
      <w:r>
        <w:rPr>
          <w:rFonts w:ascii="Times New Roman" w:hAnsi="Times New Roman" w:eastAsia="Yu Mincho"/>
          <w:b w:val="0"/>
          <w:sz w:val="18"/>
        </w:rPr>
        <w:t>以下，2章で関連研究を整理し，3章で変換 g を中心とする提案手法を定式化する．続く4章で本実験の計画を述べ，5章で想定結果版としての結果，6章で考察，7章でまとめを論じる．</w:t>
      </w:r>
    </w:p>
    <w:p>
      <w:pPr>
        <w:spacing w:before="160" w:after="60"/>
      </w:pPr>
      <w:r>
        <w:rPr>
          <w:rFonts w:ascii="Arial" w:hAnsi="Arial" w:eastAsia="Yu Gothic"/>
          <w:b/>
          <w:sz w:val="22"/>
        </w:rPr>
        <w:t>2. 関連研究</w:t>
      </w:r>
    </w:p>
    <w:p>
      <w:pPr>
        <w:spacing w:after="80" w:before="0" w:line="312" w:lineRule="auto"/>
        <w:ind w:firstLine="180"/>
        <w:jc w:val="both"/>
      </w:pPr>
      <w:r>
        <w:rPr>
          <w:rFonts w:ascii="Times New Roman" w:hAnsi="Times New Roman" w:eastAsia="Yu Mincho"/>
          <w:b w:val="0"/>
          <w:sz w:val="18"/>
        </w:rPr>
        <w:t>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pPr>
        <w:spacing w:before="100" w:after="60"/>
      </w:pPr>
      <w:r>
        <w:rPr>
          <w:rFonts w:ascii="Arial" w:hAnsi="Arial" w:eastAsia="Yu Gothic"/>
          <w:b/>
          <w:sz w:val="20"/>
        </w:rPr>
        <w:t>2.1 文字の劣化提示と認識率の数理モデル化</w:t>
      </w:r>
    </w:p>
    <w:p>
      <w:pPr>
        <w:spacing w:after="80" w:before="0" w:line="312" w:lineRule="auto"/>
        <w:ind w:firstLine="180"/>
        <w:jc w:val="both"/>
      </w:pPr>
      <w:r>
        <w:rPr>
          <w:rFonts w:ascii="Times New Roman" w:hAnsi="Times New Roman" w:eastAsia="Yu Mincho"/>
          <w:b w:val="0"/>
          <w:sz w:val="18"/>
        </w:rPr>
        <w:t>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pPr>
        <w:spacing w:after="80" w:before="0" w:line="312" w:lineRule="auto"/>
        <w:ind w:firstLine="180"/>
        <w:jc w:val="both"/>
      </w:pPr>
      <w:r>
        <w:rPr>
          <w:rFonts w:ascii="Times New Roman" w:hAnsi="Times New Roman" w:eastAsia="Yu Mincho"/>
          <w:b w:val="0"/>
          <w:sz w:val="18"/>
        </w:rPr>
        <w:t>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pPr>
        <w:spacing w:before="100" w:after="60"/>
      </w:pPr>
      <w:r>
        <w:rPr>
          <w:rFonts w:ascii="Arial" w:hAnsi="Arial" w:eastAsia="Yu Gothic"/>
          <w:b/>
          <w:sz w:val="20"/>
        </w:rPr>
        <w:t>2.2 日本語文字の視覚認識と複雑さ・短時間提示・音韻処理</w:t>
      </w:r>
    </w:p>
    <w:p>
      <w:pPr>
        <w:spacing w:after="80" w:before="0" w:line="312" w:lineRule="auto"/>
        <w:ind w:firstLine="180"/>
        <w:jc w:val="both"/>
      </w:pPr>
      <w:r>
        <w:rPr>
          <w:rFonts w:ascii="Times New Roman" w:hAnsi="Times New Roman" w:eastAsia="Yu Mincho"/>
          <w:b w:val="0"/>
          <w:sz w:val="18"/>
        </w:rPr>
        <w:t>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pPr>
        <w:spacing w:after="80" w:before="0" w:line="312" w:lineRule="auto"/>
        <w:ind w:firstLine="180"/>
        <w:jc w:val="both"/>
      </w:pPr>
      <w:r>
        <w:rPr>
          <w:rFonts w:ascii="Times New Roman" w:hAnsi="Times New Roman" w:eastAsia="Yu Mincho"/>
          <w:b w:val="0"/>
          <w:sz w:val="18"/>
        </w:rPr>
        <w:t>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pPr>
        <w:spacing w:before="100" w:after="60"/>
      </w:pPr>
      <w:r>
        <w:rPr>
          <w:rFonts w:ascii="Arial" w:hAnsi="Arial" w:eastAsia="Yu Gothic"/>
          <w:b/>
          <w:sz w:val="20"/>
        </w:rPr>
        <w:t>2.3 断片音声からの識別と明瞭度測定，日本語単音節検査</w:t>
      </w:r>
    </w:p>
    <w:p>
      <w:pPr>
        <w:spacing w:after="80" w:before="0" w:line="312" w:lineRule="auto"/>
        <w:ind w:firstLine="180"/>
        <w:jc w:val="both"/>
      </w:pPr>
      <w:r>
        <w:rPr>
          <w:rFonts w:ascii="Times New Roman" w:hAnsi="Times New Roman" w:eastAsia="Yu Mincho"/>
          <w:b w:val="0"/>
          <w:sz w:val="18"/>
        </w:rPr>
        <w:t>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pPr>
        <w:spacing w:after="80" w:before="0" w:line="312" w:lineRule="auto"/>
        <w:ind w:firstLine="180"/>
        <w:jc w:val="both"/>
      </w:pPr>
      <w:r>
        <w:rPr>
          <w:rFonts w:ascii="Times New Roman" w:hAnsi="Times New Roman" w:eastAsia="Yu Mincho"/>
          <w:b w:val="0"/>
          <w:sz w:val="18"/>
        </w:rPr>
        <w:t>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pPr>
        <w:spacing w:before="100" w:after="60"/>
      </w:pPr>
      <w:r>
        <w:rPr>
          <w:rFonts w:ascii="Arial" w:hAnsi="Arial" w:eastAsia="Yu Gothic"/>
          <w:b/>
          <w:sz w:val="20"/>
        </w:rPr>
        <w:t>2.4 共調音と，孤立提示と語中提示の違い</w:t>
      </w:r>
    </w:p>
    <w:p>
      <w:pPr>
        <w:spacing w:after="80" w:before="0" w:line="312" w:lineRule="auto"/>
        <w:ind w:firstLine="180"/>
        <w:jc w:val="both"/>
      </w:pPr>
      <w:r>
        <w:rPr>
          <w:rFonts w:ascii="Times New Roman" w:hAnsi="Times New Roman" w:eastAsia="Yu Mincho"/>
          <w:b w:val="0"/>
          <w:sz w:val="18"/>
        </w:rPr>
        <w:t>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pPr>
        <w:spacing w:after="80" w:before="0" w:line="312" w:lineRule="auto"/>
        <w:ind w:firstLine="180"/>
        <w:jc w:val="both"/>
      </w:pPr>
      <w:r>
        <w:rPr>
          <w:rFonts w:ascii="Times New Roman" w:hAnsi="Times New Roman" w:eastAsia="Yu Mincho"/>
          <w:b w:val="0"/>
          <w:sz w:val="18"/>
        </w:rPr>
        <w:t>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3339015"/>
            <wp:docPr id="2" name="Picture 2"/>
            <wp:cNvGraphicFramePr>
              <a:graphicFrameLocks noChangeAspect="1"/>
            </wp:cNvGraphicFramePr>
            <a:graphic>
              <a:graphicData uri="http://schemas.openxmlformats.org/drawingml/2006/picture">
                <pic:pic>
                  <pic:nvPicPr>
                    <pic:cNvPr id="0" name="fig_mcd.png"/>
                    <pic:cNvPicPr/>
                  </pic:nvPicPr>
                  <pic:blipFill>
                    <a:blip r:embed="rId10"/>
                    <a:stretch>
                      <a:fillRect/>
                    </a:stretch>
                  </pic:blipFill>
                  <pic:spPr>
                    <a:xfrm>
                      <a:off x="0" y="0"/>
                      <a:ext cx="5688000" cy="3339015"/>
                    </a:xfrm>
                    <a:prstGeom prst="rect"/>
                  </pic:spPr>
                </pic:pic>
              </a:graphicData>
            </a:graphic>
          </wp:inline>
        </w:drawing>
      </w:r>
    </w:p>
    <w:p>
      <w:pPr>
        <w:spacing w:after="120" w:before="40"/>
        <w:jc w:val="center"/>
      </w:pPr>
      <w:r>
        <w:rPr>
          <w:rFonts w:ascii="Times New Roman" w:hAnsi="Times New Roman" w:eastAsia="Yu Mincho"/>
          <w:b w:val="0"/>
          <w:sz w:val="17"/>
        </w:rPr>
        <w:t>図2  単音と語中の音響的乖離(メル・ケプストラム歪みを DTW で整列)を音素クラス別に示す．同一かなの単音と語中の乖離(平均15.5)が別のかなどうしの違い(平均8.2)の約2倍に達し，2文字課題の必要性を示す．</w:t>
      </w:r>
    </w:p>
    <w:p>
      <w:pPr>
        <w:spacing w:after="120" w:before="40"/>
        <w:jc w:val="center"/>
      </w:pPr>
      <w:r>
        <w:rPr>
          <w:rFonts w:ascii="Times New Roman" w:hAnsi="Times New Roman" w:eastAsia="Yu Mincho"/>
          <w:b w:val="0"/>
          <w:sz w:val="17"/>
        </w:rPr>
        <w:t>表1  iFont ver.0(1文字課題)と ver.1(2文字課題)の比較．</w:t>
      </w:r>
    </w:p>
    <w:tbl>
      <w:tblPr>
        <w:tblStyle w:val="TableGrid"/>
        <w:tblW w:type="auto" w:w="0"/>
        <w:jc w:val="center"/>
        <w:tblLook w:firstColumn="1" w:firstRow="1" w:lastColumn="0" w:lastRow="0" w:noHBand="0" w:noVBand="1" w:val="04A0"/>
      </w:tblPr>
      <w:tblGrid>
        <w:gridCol w:w="3289"/>
        <w:gridCol w:w="3289"/>
        <w:gridCol w:w="3289"/>
      </w:tblGrid>
      <w:tr>
        <w:tc>
          <w:tcPr>
            <w:tcW w:type="dxa" w:w="3289"/>
          </w:tcPr>
          <w:p>
            <w:r>
              <w:rPr>
                <w:rFonts w:ascii="Times New Roman" w:hAnsi="Times New Roman" w:eastAsia="Yu Mincho"/>
                <w:b/>
                <w:sz w:val="17"/>
              </w:rPr>
              <w:t>観点</w:t>
            </w:r>
          </w:p>
        </w:tc>
        <w:tc>
          <w:tcPr>
            <w:tcW w:type="dxa" w:w="3289"/>
          </w:tcPr>
          <w:p>
            <w:r>
              <w:rPr>
                <w:rFonts w:ascii="Times New Roman" w:hAnsi="Times New Roman" w:eastAsia="Yu Mincho"/>
                <w:b/>
                <w:sz w:val="17"/>
              </w:rPr>
              <w:t>ver.0(1文字課題)</w:t>
            </w:r>
          </w:p>
        </w:tc>
        <w:tc>
          <w:tcPr>
            <w:tcW w:type="dxa" w:w="3289"/>
          </w:tcPr>
          <w:p>
            <w:r>
              <w:rPr>
                <w:rFonts w:ascii="Times New Roman" w:hAnsi="Times New Roman" w:eastAsia="Yu Mincho"/>
                <w:b/>
                <w:sz w:val="17"/>
              </w:rPr>
              <w:t>ver.1(2文字課題)</w:t>
            </w:r>
          </w:p>
        </w:tc>
      </w:tr>
      <w:tr>
        <w:tc>
          <w:tcPr>
            <w:tcW w:type="dxa" w:w="3289"/>
          </w:tcPr>
          <w:p>
            <w:r>
              <w:rPr>
                <w:rFonts w:ascii="Times New Roman" w:hAnsi="Times New Roman" w:eastAsia="Yu Mincho"/>
                <w:b w:val="0"/>
                <w:sz w:val="17"/>
              </w:rPr>
              <w:t>課題</w:t>
            </w:r>
          </w:p>
        </w:tc>
        <w:tc>
          <w:tcPr>
            <w:tcW w:type="dxa" w:w="3289"/>
          </w:tcPr>
          <w:p>
            <w:r>
              <w:rPr>
                <w:rFonts w:ascii="Times New Roman" w:hAnsi="Times New Roman" w:eastAsia="Yu Mincho"/>
                <w:b w:val="0"/>
                <w:sz w:val="17"/>
              </w:rPr>
              <w:t>文脈のない単音のかな1文字</w:t>
            </w:r>
          </w:p>
        </w:tc>
        <w:tc>
          <w:tcPr>
            <w:tcW w:type="dxa" w:w="3289"/>
          </w:tcPr>
          <w:p>
            <w:r>
              <w:rPr>
                <w:rFonts w:ascii="Times New Roman" w:hAnsi="Times New Roman" w:eastAsia="Yu Mincho"/>
                <w:b w:val="0"/>
                <w:sz w:val="17"/>
              </w:rPr>
              <w:t>先行文字から目標文字への2文字遷移</w:t>
            </w:r>
          </w:p>
        </w:tc>
      </w:tr>
      <w:tr>
        <w:tc>
          <w:tcPr>
            <w:tcW w:type="dxa" w:w="3289"/>
          </w:tcPr>
          <w:p>
            <w:r>
              <w:rPr>
                <w:rFonts w:ascii="Times New Roman" w:hAnsi="Times New Roman" w:eastAsia="Yu Mincho"/>
                <w:b w:val="0"/>
                <w:sz w:val="17"/>
              </w:rPr>
              <w:t>共調音・文脈</w:t>
            </w:r>
          </w:p>
        </w:tc>
        <w:tc>
          <w:tcPr>
            <w:tcW w:type="dxa" w:w="3289"/>
          </w:tcPr>
          <w:p>
            <w:r>
              <w:rPr>
                <w:rFonts w:ascii="Times New Roman" w:hAnsi="Times New Roman" w:eastAsia="Yu Mincho"/>
                <w:b w:val="0"/>
                <w:sz w:val="17"/>
              </w:rPr>
              <w:t>含まない</w:t>
            </w:r>
          </w:p>
        </w:tc>
        <w:tc>
          <w:tcPr>
            <w:tcW w:type="dxa" w:w="3289"/>
          </w:tcPr>
          <w:p>
            <w:r>
              <w:rPr>
                <w:rFonts w:ascii="Times New Roman" w:hAnsi="Times New Roman" w:eastAsia="Yu Mincho"/>
                <w:b w:val="0"/>
                <w:sz w:val="17"/>
              </w:rPr>
              <w:t>含む(coarticulation)</w:t>
            </w:r>
          </w:p>
        </w:tc>
      </w:tr>
      <w:tr>
        <w:tc>
          <w:tcPr>
            <w:tcW w:type="dxa" w:w="3289"/>
          </w:tcPr>
          <w:p>
            <w:r>
              <w:rPr>
                <w:rFonts w:ascii="Times New Roman" w:hAnsi="Times New Roman" w:eastAsia="Yu Mincho"/>
                <w:b w:val="0"/>
                <w:sz w:val="17"/>
              </w:rPr>
              <w:t>流暢さ・自然さ</w:t>
            </w:r>
          </w:p>
        </w:tc>
        <w:tc>
          <w:tcPr>
            <w:tcW w:type="dxa" w:w="3289"/>
          </w:tcPr>
          <w:p>
            <w:r>
              <w:rPr>
                <w:rFonts w:ascii="Times New Roman" w:hAnsi="Times New Roman" w:eastAsia="Yu Mincho"/>
                <w:b w:val="0"/>
                <w:sz w:val="17"/>
              </w:rPr>
              <w:t>低い(発話先頭を代表)</w:t>
            </w:r>
          </w:p>
        </w:tc>
        <w:tc>
          <w:tcPr>
            <w:tcW w:type="dxa" w:w="3289"/>
          </w:tcPr>
          <w:p>
            <w:r>
              <w:rPr>
                <w:rFonts w:ascii="Times New Roman" w:hAnsi="Times New Roman" w:eastAsia="Yu Mincho"/>
                <w:b w:val="0"/>
                <w:sz w:val="17"/>
              </w:rPr>
              <w:t>高い(語中の発音を代表)</w:t>
            </w:r>
          </w:p>
        </w:tc>
      </w:tr>
      <w:tr>
        <w:tc>
          <w:tcPr>
            <w:tcW w:type="dxa" w:w="3289"/>
          </w:tcPr>
          <w:p>
            <w:r>
              <w:rPr>
                <w:rFonts w:ascii="Times New Roman" w:hAnsi="Times New Roman" w:eastAsia="Yu Mincho"/>
                <w:b w:val="0"/>
                <w:sz w:val="17"/>
              </w:rPr>
              <w:t>学びやすさ・一貫性</w:t>
            </w:r>
          </w:p>
        </w:tc>
        <w:tc>
          <w:tcPr>
            <w:tcW w:type="dxa" w:w="3289"/>
          </w:tcPr>
          <w:p>
            <w:r>
              <w:rPr>
                <w:rFonts w:ascii="Times New Roman" w:hAnsi="Times New Roman" w:eastAsia="Yu Mincho"/>
                <w:b w:val="0"/>
                <w:sz w:val="17"/>
              </w:rPr>
              <w:t>高い(前文字の影響を受けない)</w:t>
            </w:r>
          </w:p>
        </w:tc>
        <w:tc>
          <w:tcPr>
            <w:tcW w:type="dxa" w:w="3289"/>
          </w:tcPr>
          <w:p>
            <w:r>
              <w:rPr>
                <w:rFonts w:ascii="Times New Roman" w:hAnsi="Times New Roman" w:eastAsia="Yu Mincho"/>
                <w:b w:val="0"/>
                <w:sz w:val="17"/>
              </w:rPr>
              <w:t>相対的に低い</w:t>
            </w:r>
          </w:p>
        </w:tc>
      </w:tr>
      <w:tr>
        <w:tc>
          <w:tcPr>
            <w:tcW w:type="dxa" w:w="3289"/>
          </w:tcPr>
          <w:p>
            <w:r>
              <w:rPr>
                <w:rFonts w:ascii="Times New Roman" w:hAnsi="Times New Roman" w:eastAsia="Yu Mincho"/>
                <w:b w:val="0"/>
                <w:sz w:val="17"/>
              </w:rPr>
              <w:t>位置づけ</w:t>
            </w:r>
          </w:p>
        </w:tc>
        <w:tc>
          <w:tcPr>
            <w:tcW w:type="dxa" w:w="3289"/>
          </w:tcPr>
          <w:p>
            <w:r>
              <w:rPr>
                <w:rFonts w:ascii="Times New Roman" w:hAnsi="Times New Roman" w:eastAsia="Yu Mincho"/>
                <w:b w:val="0"/>
                <w:sz w:val="17"/>
              </w:rPr>
              <w:t>簡易版・発話先頭のベースライン</w:t>
            </w:r>
          </w:p>
        </w:tc>
        <w:tc>
          <w:tcPr>
            <w:tcW w:type="dxa" w:w="3289"/>
          </w:tcPr>
          <w:p>
            <w:r>
              <w:rPr>
                <w:rFonts w:ascii="Times New Roman" w:hAnsi="Times New Roman" w:eastAsia="Yu Mincho"/>
                <w:b w:val="0"/>
                <w:sz w:val="17"/>
              </w:rPr>
              <w:t>共調音を含む流暢な提示</w:t>
            </w:r>
          </w:p>
        </w:tc>
      </w:tr>
      <w:tr>
        <w:tc>
          <w:tcPr>
            <w:tcW w:type="dxa" w:w="3289"/>
          </w:tcPr>
          <w:p>
            <w:r>
              <w:rPr>
                <w:rFonts w:ascii="Times New Roman" w:hAnsi="Times New Roman" w:eastAsia="Yu Mincho"/>
                <w:b w:val="0"/>
                <w:sz w:val="17"/>
              </w:rPr>
              <w:t>音響的乖離(単音対語中, MCD平均)</w:t>
            </w:r>
          </w:p>
        </w:tc>
        <w:tc>
          <w:tcPr>
            <w:tcW w:type="dxa" w:w="3289"/>
          </w:tcPr>
          <w:p>
            <w:r>
              <w:rPr>
                <w:rFonts w:ascii="Times New Roman" w:hAnsi="Times New Roman" w:eastAsia="Yu Mincho"/>
                <w:b w:val="0"/>
                <w:sz w:val="17"/>
              </w:rPr>
              <w:t>15.5(別かな間8.2の約2倍)で大きい</w:t>
            </w:r>
          </w:p>
        </w:tc>
        <w:tc>
          <w:tcPr>
            <w:tcW w:type="dxa" w:w="3289"/>
          </w:tcPr>
          <w:p>
            <w:r>
              <w:rPr>
                <w:rFonts w:ascii="Times New Roman" w:hAnsi="Times New Roman" w:eastAsia="Yu Mincho"/>
                <w:b w:val="0"/>
                <w:sz w:val="17"/>
              </w:rPr>
              <w:t>先行文脈により語中を忠実に代表</w:t>
            </w:r>
          </w:p>
        </w:tc>
      </w:tr>
      <w:tr>
        <w:tc>
          <w:tcPr>
            <w:tcW w:type="dxa" w:w="3289"/>
          </w:tcPr>
          <w:p>
            <w:r>
              <w:rPr>
                <w:rFonts w:ascii="Times New Roman" w:hAnsi="Times New Roman" w:eastAsia="Yu Mincho"/>
                <w:b w:val="0"/>
                <w:sz w:val="17"/>
              </w:rPr>
              <w:t>乖離が大きい音素クラス</w:t>
            </w:r>
          </w:p>
        </w:tc>
        <w:tc>
          <w:tcPr>
            <w:tcW w:type="dxa" w:w="3289"/>
          </w:tcPr>
          <w:p>
            <w:r>
              <w:rPr>
                <w:rFonts w:ascii="Times New Roman" w:hAnsi="Times New Roman" w:eastAsia="Yu Mincho"/>
                <w:b w:val="0"/>
                <w:sz w:val="17"/>
              </w:rPr>
              <w:t>母音・半母音・撥音・有声破裂</w:t>
            </w:r>
          </w:p>
        </w:tc>
        <w:tc>
          <w:tcPr>
            <w:tcW w:type="dxa" w:w="3289"/>
          </w:tcPr>
          <w:p>
            <w:r>
              <w:rPr>
                <w:rFonts w:ascii="Times New Roman" w:hAnsi="Times New Roman" w:eastAsia="Yu Mincho"/>
                <w:b w:val="0"/>
                <w:sz w:val="17"/>
              </w:rPr>
              <w:t>同(2文字で改善)</w:t>
            </w:r>
          </w:p>
        </w:tc>
      </w:tr>
      <w:tr>
        <w:tc>
          <w:tcPr>
            <w:tcW w:type="dxa" w:w="3289"/>
          </w:tcPr>
          <w:p>
            <w:r>
              <w:rPr>
                <w:rFonts w:ascii="Times New Roman" w:hAnsi="Times New Roman" w:eastAsia="Yu Mincho"/>
                <w:b w:val="0"/>
                <w:sz w:val="17"/>
              </w:rPr>
              <w:t>乖離が小さい音素クラス</w:t>
            </w:r>
          </w:p>
        </w:tc>
        <w:tc>
          <w:tcPr>
            <w:tcW w:type="dxa" w:w="3289"/>
          </w:tcPr>
          <w:p>
            <w:r>
              <w:rPr>
                <w:rFonts w:ascii="Times New Roman" w:hAnsi="Times New Roman" w:eastAsia="Yu Mincho"/>
                <w:b w:val="0"/>
                <w:sz w:val="17"/>
              </w:rPr>
              <w:t>無声破裂・破擦</w:t>
            </w:r>
          </w:p>
        </w:tc>
        <w:tc>
          <w:tcPr>
            <w:tcW w:type="dxa" w:w="3289"/>
          </w:tcPr>
          <w:p>
            <w:r>
              <w:rPr>
                <w:rFonts w:ascii="Times New Roman" w:hAnsi="Times New Roman" w:eastAsia="Yu Mincho"/>
                <w:b w:val="0"/>
                <w:sz w:val="17"/>
              </w:rPr>
              <w:t>同(両課題の差は小さい)</w:t>
            </w:r>
          </w:p>
        </w:tc>
      </w:tr>
    </w:tbl>
    <w:p>
      <w:pPr>
        <w:spacing w:after="80"/>
      </w:pP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2.5 横断: 視覚と聴覚を同一尺度で対応づける研究の欠落</w:t>
      </w:r>
    </w:p>
    <w:p>
      <w:pPr>
        <w:spacing w:after="80" w:before="0" w:line="312" w:lineRule="auto"/>
        <w:ind w:firstLine="180"/>
        <w:jc w:val="both"/>
      </w:pPr>
      <w:r>
        <w:rPr>
          <w:rFonts w:ascii="Times New Roman" w:hAnsi="Times New Roman" w:eastAsia="Yu Mincho"/>
          <w:b w:val="0"/>
          <w:sz w:val="18"/>
        </w:rPr>
        <w:t>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pPr>
        <w:spacing w:after="80" w:before="0" w:line="312" w:lineRule="auto"/>
        <w:ind w:firstLine="180"/>
        <w:jc w:val="both"/>
      </w:pPr>
      <w:r>
        <w:rPr>
          <w:rFonts w:ascii="Times New Roman" w:hAnsi="Times New Roman" w:eastAsia="Yu Mincho"/>
          <w:b w:val="0"/>
          <w:sz w:val="18"/>
        </w:rPr>
        <w:t>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を文献互換のベースラインと公平に比較する．これにより，個々の系譜の知見を尊重しつつ，それらが単独では与えてこなかった「視覚と聴覚を同一尺度で結ぶ文字単位の対応」を，インクルーシブな字幕設計のための実用的な道具として提示する．</w:t>
      </w:r>
    </w:p>
    <w:p>
      <w:pPr>
        <w:spacing w:before="160" w:after="60"/>
      </w:pPr>
      <w:r>
        <w:rPr>
          <w:rFonts w:ascii="Arial" w:hAnsi="Arial" w:eastAsia="Yu Gothic"/>
          <w:b/>
          <w:sz w:val="22"/>
        </w:rPr>
        <w:t>3. 提案手法</w:t>
      </w:r>
    </w:p>
    <w:p>
      <w:pPr>
        <w:spacing w:after="80" w:before="0" w:line="312" w:lineRule="auto"/>
        <w:ind w:firstLine="180"/>
        <w:jc w:val="both"/>
      </w:pPr>
      <w:r>
        <w:rPr>
          <w:rFonts w:ascii="Times New Roman" w:hAnsi="Times New Roman" w:eastAsia="Yu Mincho"/>
          <w:b w:val="0"/>
          <w:sz w:val="18"/>
        </w:rPr>
        <w:t>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pPr>
        <w:spacing w:before="100" w:after="60"/>
      </w:pPr>
      <w:r>
        <w:rPr>
          <w:rFonts w:ascii="Arial" w:hAnsi="Arial" w:eastAsia="Yu Gothic"/>
          <w:b/>
          <w:sz w:val="20"/>
        </w:rPr>
        <w:t>3.1 中心となる考え方: 文字単位の対応づけ g</w:t>
      </w:r>
    </w:p>
    <w:p>
      <w:pPr>
        <w:spacing w:after="80" w:before="0" w:line="312" w:lineRule="auto"/>
        <w:ind w:firstLine="180"/>
        <w:jc w:val="both"/>
      </w:pPr>
      <w:r>
        <w:rPr>
          <w:rFonts w:ascii="Times New Roman" w:hAnsi="Times New Roman" w:eastAsia="Yu Mincho"/>
          <w:b w:val="0"/>
          <w:sz w:val="18"/>
        </w:rP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pPr>
        <w:spacing w:after="80" w:before="0" w:line="312" w:lineRule="auto"/>
        <w:ind w:firstLine="180"/>
        <w:jc w:val="both"/>
      </w:pPr>
      <w:r>
        <w:rPr>
          <w:rFonts w:ascii="Times New Roman" w:hAnsi="Times New Roman" w:eastAsia="Yu Mincho"/>
          <w:b w:val="0"/>
          <w:sz w:val="18"/>
        </w:rPr>
        <w:t>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pPr>
        <w:spacing w:after="80" w:before="0" w:line="312" w:lineRule="auto"/>
        <w:ind w:firstLine="180"/>
        <w:jc w:val="both"/>
      </w:pPr>
      <w:r>
        <w:rPr>
          <w:rFonts w:ascii="Times New Roman" w:hAnsi="Times New Roman" w:eastAsia="Yu Mincho"/>
          <w:b w:val="0"/>
          <w:sz w:val="18"/>
        </w:rPr>
        <w:t>この整理により，読み上げの音声を g で視覚の明瞭度に写し，それを決まり字の絞り込みに沿って積み上げれば，視覚だけを見ている人の札の識別が進む曲線が得られる．理想的には，この曲線が，実測される聴覚版の札の識別曲線に一致する．両者が一致するように字幕の見え方を時間で設計することが，本研究の目標そのものである．</w:t>
      </w:r>
    </w:p>
    <w:p>
      <w:pPr>
        <w:spacing w:after="80" w:before="0" w:line="312" w:lineRule="auto"/>
        <w:ind w:firstLine="180"/>
        <w:jc w:val="both"/>
      </w:pPr>
      <w:r>
        <w:rPr>
          <w:rFonts w:ascii="Times New Roman" w:hAnsi="Times New Roman" w:eastAsia="Yu Mincho"/>
          <w:b w:val="0"/>
          <w:sz w:val="18"/>
        </w:rPr>
        <w:t>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pPr>
        <w:spacing w:before="100" w:after="60"/>
      </w:pPr>
      <w:r>
        <w:rPr>
          <w:rFonts w:ascii="Arial" w:hAnsi="Arial" w:eastAsia="Yu Gothic"/>
          <w:b/>
          <w:sz w:val="20"/>
        </w:rPr>
        <w:t>3.2 ver.0(1文字)と ver.1(2文字)の設計</w:t>
      </w:r>
    </w:p>
    <w:p>
      <w:pPr>
        <w:spacing w:after="80" w:before="0" w:line="312" w:lineRule="auto"/>
        <w:ind w:firstLine="180"/>
        <w:jc w:val="both"/>
      </w:pPr>
      <w:r>
        <w:rPr>
          <w:rFonts w:ascii="Times New Roman" w:hAnsi="Times New Roman" w:eastAsia="Yu Mincho"/>
          <w:b w:val="0"/>
          <w:sz w:val="18"/>
        </w:rPr>
        <w:t>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pPr>
        <w:spacing w:after="80" w:before="0" w:line="312" w:lineRule="auto"/>
        <w:ind w:firstLine="180"/>
        <w:jc w:val="both"/>
      </w:pPr>
      <w:r>
        <w:rPr>
          <w:rFonts w:ascii="Times New Roman" w:hAnsi="Times New Roman" w:eastAsia="Yu Mincho"/>
          <w:b w:val="0"/>
          <w:sz w:val="18"/>
        </w:rPr>
        <w:t>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pPr>
        <w:spacing w:before="100" w:after="60"/>
      </w:pPr>
      <w:r>
        <w:rPr>
          <w:rFonts w:ascii="Arial" w:hAnsi="Arial" w:eastAsia="Yu Gothic"/>
          <w:b/>
          <w:sz w:val="20"/>
        </w:rPr>
        <w:t>3.3 視覚の提示</w:t>
      </w:r>
    </w:p>
    <w:p>
      <w:pPr>
        <w:spacing w:after="80" w:before="0" w:line="312" w:lineRule="auto"/>
        <w:ind w:firstLine="180"/>
        <w:jc w:val="both"/>
      </w:pPr>
      <w:r>
        <w:rPr>
          <w:rFonts w:ascii="Times New Roman" w:hAnsi="Times New Roman" w:eastAsia="Yu Mincho"/>
          <w:b w:val="0"/>
          <w:sz w:val="18"/>
        </w:rPr>
        <w:t>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t>
      </w:r>
    </w:p>
    <w:p>
      <w:pPr>
        <w:spacing w:after="80" w:before="0" w:line="312" w:lineRule="auto"/>
        <w:ind w:firstLine="180"/>
        <w:jc w:val="both"/>
      </w:pPr>
      <w:r>
        <w:rPr>
          <w:rFonts w:ascii="Times New Roman" w:hAnsi="Times New Roman" w:eastAsia="Yu Mincho"/>
          <w:b w:val="0"/>
          <w:sz w:val="18"/>
        </w:rPr>
        <w:t>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pPr>
        <w:spacing w:after="80" w:before="0" w:line="312" w:lineRule="auto"/>
        <w:ind w:firstLine="180"/>
        <w:jc w:val="both"/>
      </w:pPr>
      <w:r>
        <w:rPr>
          <w:rFonts w:ascii="Times New Roman" w:hAnsi="Times New Roman" w:eastAsia="Yu Mincho"/>
          <w:b w:val="0"/>
          <w:sz w:val="18"/>
        </w:rPr>
        <w:t>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1954135"/>
            <wp:docPr id="3" name="Picture 3"/>
            <wp:cNvGraphicFramePr>
              <a:graphicFrameLocks noChangeAspect="1"/>
            </wp:cNvGraphicFramePr>
            <a:graphic>
              <a:graphicData uri="http://schemas.openxmlformats.org/drawingml/2006/picture">
                <pic:pic>
                  <pic:nvPicPr>
                    <pic:cNvPr id="0" name="fig_algos.png"/>
                    <pic:cNvPicPr/>
                  </pic:nvPicPr>
                  <pic:blipFill>
                    <a:blip r:embed="rId11"/>
                    <a:stretch>
                      <a:fillRect/>
                    </a:stretch>
                  </pic:blipFill>
                  <pic:spPr>
                    <a:xfrm>
                      <a:off x="0" y="0"/>
                      <a:ext cx="5688000" cy="1954135"/>
                    </a:xfrm>
                    <a:prstGeom prst="rect"/>
                  </pic:spPr>
                </pic:pic>
              </a:graphicData>
            </a:graphic>
          </wp:inline>
        </w:drawing>
      </w:r>
    </w:p>
    <w:p>
      <w:pPr>
        <w:spacing w:after="120" w:before="40"/>
        <w:jc w:val="center"/>
      </w:pPr>
      <w:r>
        <w:rPr>
          <w:rFonts w:ascii="Times New Roman" w:hAnsi="Times New Roman" w:eastAsia="Yu Mincho"/>
          <w:b w:val="0"/>
          <w:sz w:val="17"/>
        </w:rPr>
        <w:t>図3  視覚の提示アルゴリズム(fade・blur・moya・モーフィング)と，刺激強度(ざらつき・動きの大きさ)による事前選別．fade・blur・moya を本実験候補として残す．</w:t>
      </w: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3.4 聴覚の提示</w:t>
      </w:r>
    </w:p>
    <w:p>
      <w:pPr>
        <w:spacing w:after="80" w:before="0" w:line="312" w:lineRule="auto"/>
        <w:ind w:firstLine="180"/>
        <w:jc w:val="both"/>
      </w:pPr>
      <w:r>
        <w:rPr>
          <w:rFonts w:ascii="Times New Roman" w:hAnsi="Times New Roman" w:eastAsia="Yu Mincho"/>
          <w:b w:val="0"/>
          <w:sz w:val="18"/>
        </w:rPr>
        <w:t>聴覚では，音声合成 VOICEVOX(話者は四国めたん)によってかなの音声を生成する．合成音声が競技かるたの詠みを代替しうるかについては，我々が別途，探索的な基礎検討を行っている[23]．生成した音声は，末尾を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pPr>
        <w:spacing w:after="80" w:before="0" w:line="312" w:lineRule="auto"/>
        <w:ind w:firstLine="180"/>
        <w:jc w:val="both"/>
      </w:pPr>
      <w:r>
        <w:rPr>
          <w:rFonts w:ascii="Times New Roman" w:hAnsi="Times New Roman" w:eastAsia="Yu Mincho"/>
          <w:b w:val="0"/>
          <w:sz w:val="18"/>
        </w:rPr>
        <w:t>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t>
      </w:r>
    </w:p>
    <w:p>
      <w:pPr>
        <w:spacing w:before="100" w:after="60"/>
      </w:pPr>
      <w:r>
        <w:rPr>
          <w:rFonts w:ascii="Arial" w:hAnsi="Arial" w:eastAsia="Yu Gothic"/>
          <w:b/>
          <w:sz w:val="20"/>
        </w:rPr>
        <w:t>3.5 認識の数理モデルとベースライン</w:t>
      </w:r>
    </w:p>
    <w:p>
      <w:pPr>
        <w:spacing w:after="80" w:before="0" w:line="312" w:lineRule="auto"/>
        <w:ind w:firstLine="180"/>
        <w:jc w:val="both"/>
      </w:pPr>
      <w:r>
        <w:rPr>
          <w:rFonts w:ascii="Times New Roman" w:hAnsi="Times New Roman" w:eastAsia="Yu Mincho"/>
          <w:b w:val="0"/>
          <w:sz w:val="18"/>
        </w:rPr>
        <w:t>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3403475"/>
            <wp:docPr id="4" name="Picture 4"/>
            <wp:cNvGraphicFramePr>
              <a:graphicFrameLocks noChangeAspect="1"/>
            </wp:cNvGraphicFramePr>
            <a:graphic>
              <a:graphicData uri="http://schemas.openxmlformats.org/drawingml/2006/picture">
                <pic:pic>
                  <pic:nvPicPr>
                    <pic:cNvPr id="0" name="fig_psycho.png"/>
                    <pic:cNvPicPr/>
                  </pic:nvPicPr>
                  <pic:blipFill>
                    <a:blip r:embed="rId12"/>
                    <a:stretch>
                      <a:fillRect/>
                    </a:stretch>
                  </pic:blipFill>
                  <pic:spPr>
                    <a:xfrm>
                      <a:off x="0" y="0"/>
                      <a:ext cx="5688000" cy="3403475"/>
                    </a:xfrm>
                    <a:prstGeom prst="rect"/>
                  </pic:spPr>
                </pic:pic>
              </a:graphicData>
            </a:graphic>
          </wp:inline>
        </w:drawing>
      </w:r>
    </w:p>
    <w:p>
      <w:pPr>
        <w:spacing w:after="120" w:before="40"/>
        <w:jc w:val="center"/>
      </w:pPr>
      <w:r>
        <w:rPr>
          <w:rFonts w:ascii="Times New Roman" w:hAnsi="Times New Roman" w:eastAsia="Yu Mincho"/>
          <w:b w:val="0"/>
          <w:sz w:val="17"/>
        </w:rPr>
        <w:t>図4  明瞭度(提示割合 frac)に対する認識率の心理測定曲線(想定結果)．提案する時間ゲート提示と文献互換ベースライン，聴覚1文字について，データ点と当てはめたロジスティック曲線・閾値を示す．下限は偶然正答 1/N に固定する．</w:t>
      </w:r>
    </w:p>
    <w:p>
      <w:pPr>
        <w:sectPr>
          <w:type w:val="continuous"/>
          <w:pgSz w:w="11906" w:h="16838"/>
          <w:pgMar w:top="1134" w:right="1020" w:bottom="1134" w:left="1020" w:header="720" w:footer="720" w:gutter="0"/>
          <w:cols w:space="454" w:num="1" w:equalWidth="1"/>
          <w:docGrid w:linePitch="360"/>
        </w:sectPr>
      </w:pPr>
    </w:p>
    <w:p>
      <w:pPr>
        <w:spacing w:after="80" w:before="0" w:line="312" w:lineRule="auto"/>
        <w:ind w:firstLine="180"/>
        <w:jc w:val="both"/>
      </w:pPr>
      <w:r>
        <w:rPr>
          <w:rFonts w:ascii="Times New Roman" w:hAnsi="Times New Roman" w:eastAsia="Yu Mincho"/>
          <w:b w:val="0"/>
          <w:sz w:val="18"/>
        </w:rPr>
        <w:t>提示法のうち fade と blur は実績のある手法(それぞれコントラスト操作[1]，低域通過ぼかし[3])の踏襲であり，新規の moya とモーフィングは，これらと同一の枠組みのもとで文献互換ベースラインと比較する(4.6節)．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pPr>
        <w:spacing w:before="160" w:after="60"/>
      </w:pPr>
      <w:r>
        <w:rPr>
          <w:rFonts w:ascii="Arial" w:hAnsi="Arial" w:eastAsia="Yu Gothic"/>
          <w:b/>
          <w:sz w:val="22"/>
        </w:rPr>
        <w:t>4. 本実験の計画</w:t>
      </w:r>
    </w:p>
    <w:p>
      <w:pPr>
        <w:spacing w:after="80" w:before="0" w:line="312" w:lineRule="auto"/>
        <w:ind w:firstLine="180"/>
        <w:jc w:val="both"/>
      </w:pPr>
      <w:r>
        <w:rPr>
          <w:rFonts w:ascii="Times New Roman" w:hAnsi="Times New Roman" w:eastAsia="Yu Mincho"/>
          <w:b w:val="0"/>
          <w:sz w:val="18"/>
        </w:rPr>
        <w:t>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2773951"/>
            <wp:docPr id="5" name="Picture 5"/>
            <wp:cNvGraphicFramePr>
              <a:graphicFrameLocks noChangeAspect="1"/>
            </wp:cNvGraphicFramePr>
            <a:graphic>
              <a:graphicData uri="http://schemas.openxmlformats.org/drawingml/2006/picture">
                <pic:pic>
                  <pic:nvPicPr>
                    <pic:cNvPr id="0" name="fig_matrix.png"/>
                    <pic:cNvPicPr/>
                  </pic:nvPicPr>
                  <pic:blipFill>
                    <a:blip r:embed="rId13"/>
                    <a:stretch>
                      <a:fillRect/>
                    </a:stretch>
                  </pic:blipFill>
                  <pic:spPr>
                    <a:xfrm>
                      <a:off x="0" y="0"/>
                      <a:ext cx="5688000" cy="2773951"/>
                    </a:xfrm>
                    <a:prstGeom prst="rect"/>
                  </pic:spPr>
                </pic:pic>
              </a:graphicData>
            </a:graphic>
          </wp:inline>
        </w:drawing>
      </w:r>
    </w:p>
    <w:p>
      <w:pPr>
        <w:spacing w:after="120" w:before="40"/>
        <w:jc w:val="center"/>
      </w:pPr>
      <w:r>
        <w:rPr>
          <w:rFonts w:ascii="Times New Roman" w:hAnsi="Times New Roman" w:eastAsia="Yu Mincho"/>
          <w:b w:val="0"/>
          <w:sz w:val="17"/>
        </w:rPr>
        <w:t>図5  本実験のデザイン．モダリティ(視覚・聴覚)×課題(ver.0=1文字・ver.1=2文字)の要因計画と，各条件で得る心理測定関数の対応づけを示す．</w:t>
      </w:r>
    </w:p>
    <w:p>
      <w:pPr>
        <w:spacing w:after="120" w:before="40"/>
        <w:jc w:val="center"/>
      </w:pPr>
      <w:r>
        <w:rPr>
          <w:rFonts w:ascii="Times New Roman" w:hAnsi="Times New Roman" w:eastAsia="Yu Mincho"/>
          <w:b w:val="0"/>
          <w:sz w:val="17"/>
        </w:rPr>
        <w:t>表2  予算配分と本実験の設計(総額10万円以下，条件3〜4系列)．</w:t>
      </w:r>
    </w:p>
    <w:tbl>
      <w:tblPr>
        <w:tblStyle w:val="TableGrid"/>
        <w:tblW w:type="auto" w:w="0"/>
        <w:jc w:val="center"/>
        <w:tblLook w:firstColumn="1" w:firstRow="1" w:lastColumn="0" w:lastRow="0" w:noHBand="0" w:noVBand="1" w:val="04A0"/>
      </w:tblPr>
      <w:tblGrid>
        <w:gridCol w:w="4933"/>
        <w:gridCol w:w="4933"/>
      </w:tblGrid>
      <w:tr>
        <w:tc>
          <w:tcPr>
            <w:tcW w:type="dxa" w:w="4933"/>
          </w:tcPr>
          <w:p>
            <w:r>
              <w:rPr>
                <w:rFonts w:ascii="Times New Roman" w:hAnsi="Times New Roman" w:eastAsia="Yu Mincho"/>
                <w:b/>
                <w:sz w:val="17"/>
              </w:rPr>
              <w:t>項目</w:t>
            </w:r>
          </w:p>
        </w:tc>
        <w:tc>
          <w:tcPr>
            <w:tcW w:type="dxa" w:w="4933"/>
          </w:tcPr>
          <w:p>
            <w:r>
              <w:rPr>
                <w:rFonts w:ascii="Times New Roman" w:hAnsi="Times New Roman" w:eastAsia="Yu Mincho"/>
                <w:b/>
                <w:sz w:val="17"/>
              </w:rPr>
              <w:t>内容</w:t>
            </w:r>
          </w:p>
        </w:tc>
      </w:tr>
      <w:tr>
        <w:tc>
          <w:tcPr>
            <w:tcW w:type="dxa" w:w="4933"/>
          </w:tcPr>
          <w:p>
            <w:r>
              <w:rPr>
                <w:rFonts w:ascii="Times New Roman" w:hAnsi="Times New Roman" w:eastAsia="Yu Mincho"/>
                <w:b w:val="0"/>
                <w:sz w:val="17"/>
              </w:rPr>
              <w:t>費用制約</w:t>
            </w:r>
          </w:p>
        </w:tc>
        <w:tc>
          <w:tcPr>
            <w:tcW w:type="dxa" w:w="4933"/>
          </w:tcPr>
          <w:p>
            <w:r>
              <w:rPr>
                <w:rFonts w:ascii="Times New Roman" w:hAnsi="Times New Roman" w:eastAsia="Yu Mincho"/>
                <w:b w:val="0"/>
                <w:sz w:val="17"/>
              </w:rPr>
              <w:t>総額10万円以下</w:t>
            </w:r>
          </w:p>
        </w:tc>
      </w:tr>
      <w:tr>
        <w:tc>
          <w:tcPr>
            <w:tcW w:type="dxa" w:w="4933"/>
          </w:tcPr>
          <w:p>
            <w:r>
              <w:rPr>
                <w:rFonts w:ascii="Times New Roman" w:hAnsi="Times New Roman" w:eastAsia="Yu Mincho"/>
                <w:b w:val="0"/>
                <w:sz w:val="17"/>
              </w:rPr>
              <w:t>扱える条件数</w:t>
            </w:r>
          </w:p>
        </w:tc>
        <w:tc>
          <w:tcPr>
            <w:tcW w:type="dxa" w:w="4933"/>
          </w:tcPr>
          <w:p>
            <w:r>
              <w:rPr>
                <w:rFonts w:ascii="Times New Roman" w:hAnsi="Times New Roman" w:eastAsia="Yu Mincho"/>
                <w:b w:val="0"/>
                <w:sz w:val="17"/>
              </w:rPr>
              <w:t>3〜4系列(モダリティ×課題×提示法の1つの組合せ)</w:t>
            </w:r>
          </w:p>
        </w:tc>
      </w:tr>
      <w:tr>
        <w:tc>
          <w:tcPr>
            <w:tcW w:type="dxa" w:w="4933"/>
          </w:tcPr>
          <w:p>
            <w:r>
              <w:rPr>
                <w:rFonts w:ascii="Times New Roman" w:hAnsi="Times New Roman" w:eastAsia="Yu Mincho"/>
                <w:b w:val="0"/>
                <w:sz w:val="17"/>
              </w:rPr>
              <w:t>1協力者あたり試行数</w:t>
            </w:r>
          </w:p>
        </w:tc>
        <w:tc>
          <w:tcPr>
            <w:tcW w:type="dxa" w:w="4933"/>
          </w:tcPr>
          <w:p>
            <w:r>
              <w:rPr>
                <w:rFonts w:ascii="Times New Roman" w:hAnsi="Times New Roman" w:eastAsia="Yu Mincho"/>
                <w:b w:val="0"/>
                <w:sz w:val="17"/>
              </w:rPr>
              <w:t>150〜220試行</w:t>
            </w:r>
          </w:p>
        </w:tc>
      </w:tr>
      <w:tr>
        <w:tc>
          <w:tcPr>
            <w:tcW w:type="dxa" w:w="4933"/>
          </w:tcPr>
          <w:p>
            <w:r>
              <w:rPr>
                <w:rFonts w:ascii="Times New Roman" w:hAnsi="Times New Roman" w:eastAsia="Yu Mincho"/>
                <w:b w:val="0"/>
                <w:sz w:val="17"/>
              </w:rPr>
              <w:t>所要時間</w:t>
            </w:r>
          </w:p>
        </w:tc>
        <w:tc>
          <w:tcPr>
            <w:tcW w:type="dxa" w:w="4933"/>
          </w:tcPr>
          <w:p>
            <w:r>
              <w:rPr>
                <w:rFonts w:ascii="Times New Roman" w:hAnsi="Times New Roman" w:eastAsia="Yu Mincho"/>
                <w:b w:val="0"/>
                <w:sz w:val="17"/>
              </w:rPr>
              <w:t>18〜25分</w:t>
            </w:r>
          </w:p>
        </w:tc>
      </w:tr>
      <w:tr>
        <w:tc>
          <w:tcPr>
            <w:tcW w:type="dxa" w:w="4933"/>
          </w:tcPr>
          <w:p>
            <w:r>
              <w:rPr>
                <w:rFonts w:ascii="Times New Roman" w:hAnsi="Times New Roman" w:eastAsia="Yu Mincho"/>
                <w:b w:val="0"/>
                <w:sz w:val="17"/>
              </w:rPr>
              <w:t>報酬</w:t>
            </w:r>
          </w:p>
        </w:tc>
        <w:tc>
          <w:tcPr>
            <w:tcW w:type="dxa" w:w="4933"/>
          </w:tcPr>
          <w:p>
            <w:r>
              <w:rPr>
                <w:rFonts w:ascii="Times New Roman" w:hAnsi="Times New Roman" w:eastAsia="Yu Mincho"/>
                <w:b w:val="0"/>
                <w:sz w:val="17"/>
              </w:rPr>
              <w:t>400〜600円/人</w:t>
            </w:r>
          </w:p>
        </w:tc>
      </w:tr>
      <w:tr>
        <w:tc>
          <w:tcPr>
            <w:tcW w:type="dxa" w:w="4933"/>
          </w:tcPr>
          <w:p>
            <w:r>
              <w:rPr>
                <w:rFonts w:ascii="Times New Roman" w:hAnsi="Times New Roman" w:eastAsia="Yu Mincho"/>
                <w:b w:val="0"/>
                <w:sz w:val="17"/>
              </w:rPr>
              <w:t>条件1</w:t>
            </w:r>
          </w:p>
        </w:tc>
        <w:tc>
          <w:tcPr>
            <w:tcW w:type="dxa" w:w="4933"/>
          </w:tcPr>
          <w:p>
            <w:r>
              <w:rPr>
                <w:rFonts w:ascii="Times New Roman" w:hAnsi="Times New Roman" w:eastAsia="Yu Mincho"/>
                <w:b w:val="0"/>
                <w:sz w:val="17"/>
              </w:rPr>
              <w:t>2文字課題(ver.1)</w:t>
            </w:r>
          </w:p>
        </w:tc>
      </w:tr>
      <w:tr>
        <w:tc>
          <w:tcPr>
            <w:tcW w:type="dxa" w:w="4933"/>
          </w:tcPr>
          <w:p>
            <w:r>
              <w:rPr>
                <w:rFonts w:ascii="Times New Roman" w:hAnsi="Times New Roman" w:eastAsia="Yu Mincho"/>
                <w:b w:val="0"/>
                <w:sz w:val="17"/>
              </w:rPr>
              <w:t>条件2</w:t>
            </w:r>
          </w:p>
        </w:tc>
        <w:tc>
          <w:tcPr>
            <w:tcW w:type="dxa" w:w="4933"/>
          </w:tcPr>
          <w:p>
            <w:r>
              <w:rPr>
                <w:rFonts w:ascii="Times New Roman" w:hAnsi="Times New Roman" w:eastAsia="Yu Mincho"/>
                <w:b w:val="0"/>
                <w:sz w:val="17"/>
              </w:rPr>
              <w:t>聴覚1文字(ver.0)×1音源: 聴覚基準曲線</w:t>
            </w:r>
          </w:p>
        </w:tc>
      </w:tr>
      <w:tr>
        <w:tc>
          <w:tcPr>
            <w:tcW w:type="dxa" w:w="4933"/>
          </w:tcPr>
          <w:p>
            <w:r>
              <w:rPr>
                <w:rFonts w:ascii="Times New Roman" w:hAnsi="Times New Roman" w:eastAsia="Yu Mincho"/>
                <w:b w:val="0"/>
                <w:sz w:val="17"/>
              </w:rPr>
              <w:t>条件3</w:t>
            </w:r>
          </w:p>
        </w:tc>
        <w:tc>
          <w:tcPr>
            <w:tcW w:type="dxa" w:w="4933"/>
          </w:tcPr>
          <w:p>
            <w:r>
              <w:rPr>
                <w:rFonts w:ascii="Times New Roman" w:hAnsi="Times New Roman" w:eastAsia="Yu Mincho"/>
                <w:b w:val="0"/>
                <w:sz w:val="17"/>
              </w:rPr>
              <w:t>視覚1文字(ver.0)×提示法比較(fade・blur・moya)</w:t>
            </w:r>
          </w:p>
        </w:tc>
      </w:tr>
      <w:tr>
        <w:tc>
          <w:tcPr>
            <w:tcW w:type="dxa" w:w="4933"/>
          </w:tcPr>
          <w:p>
            <w:r>
              <w:rPr>
                <w:rFonts w:ascii="Times New Roman" w:hAnsi="Times New Roman" w:eastAsia="Yu Mincho"/>
                <w:b w:val="0"/>
                <w:sz w:val="17"/>
              </w:rPr>
              <w:t>ベースライン条件</w:t>
            </w:r>
          </w:p>
        </w:tc>
        <w:tc>
          <w:tcPr>
            <w:tcW w:type="dxa" w:w="4933"/>
          </w:tcPr>
          <w:p>
            <w:r>
              <w:rPr>
                <w:rFonts w:ascii="Times New Roman" w:hAnsi="Times New Roman" w:eastAsia="Yu Mincho"/>
                <w:b w:val="0"/>
                <w:sz w:val="17"/>
              </w:rPr>
              <w:t>文献互換の静止コントラスト・低域通過ぼかし[1][3]を1条件として含む</w:t>
            </w:r>
          </w:p>
        </w:tc>
      </w:tr>
      <w:tr>
        <w:tc>
          <w:tcPr>
            <w:tcW w:type="dxa" w:w="4933"/>
          </w:tcPr>
          <w:p>
            <w:r>
              <w:rPr>
                <w:rFonts w:ascii="Times New Roman" w:hAnsi="Times New Roman" w:eastAsia="Yu Mincho"/>
                <w:b w:val="0"/>
                <w:sz w:val="17"/>
              </w:rPr>
              <w:t>frac 水準配置</w:t>
            </w:r>
          </w:p>
        </w:tc>
        <w:tc>
          <w:tcPr>
            <w:tcW w:type="dxa" w:w="4933"/>
          </w:tcPr>
          <w:p>
            <w:r>
              <w:rPr>
                <w:rFonts w:ascii="Times New Roman" w:hAnsi="Times New Roman" w:eastAsia="Yu Mincho"/>
                <w:b w:val="0"/>
                <w:sz w:val="17"/>
              </w:rPr>
              <w:t>閾値付近を密にした段階</w:t>
            </w:r>
          </w:p>
        </w:tc>
      </w:tr>
      <w:tr>
        <w:tc>
          <w:tcPr>
            <w:tcW w:type="dxa" w:w="4933"/>
          </w:tcPr>
          <w:p>
            <w:r>
              <w:rPr>
                <w:rFonts w:ascii="Times New Roman" w:hAnsi="Times New Roman" w:eastAsia="Yu Mincho"/>
                <w:b w:val="0"/>
                <w:sz w:val="17"/>
              </w:rPr>
              <w:t>回答形式</w:t>
            </w:r>
          </w:p>
        </w:tc>
        <w:tc>
          <w:tcPr>
            <w:tcW w:type="dxa" w:w="4933"/>
          </w:tcPr>
          <w:p>
            <w:r>
              <w:rPr>
                <w:rFonts w:ascii="Times New Roman" w:hAnsi="Times New Roman" w:eastAsia="Yu Mincho"/>
                <w:b w:val="0"/>
                <w:sz w:val="17"/>
              </w:rPr>
              <w:t>50音固定グリッドからの強制選択(下限 1/N)</w:t>
            </w:r>
          </w:p>
        </w:tc>
      </w:tr>
      <w:tr>
        <w:tc>
          <w:tcPr>
            <w:tcW w:type="dxa" w:w="4933"/>
          </w:tcPr>
          <w:p>
            <w:r>
              <w:rPr>
                <w:rFonts w:ascii="Times New Roman" w:hAnsi="Times New Roman" w:eastAsia="Yu Mincho"/>
                <w:b w:val="0"/>
                <w:sz w:val="17"/>
              </w:rPr>
              <w:t>募集・照合</w:t>
            </w:r>
          </w:p>
        </w:tc>
        <w:tc>
          <w:tcPr>
            <w:tcW w:type="dxa" w:w="4933"/>
          </w:tcPr>
          <w:p>
            <w:r>
              <w:rPr>
                <w:rFonts w:ascii="Times New Roman" w:hAnsi="Times New Roman" w:eastAsia="Yu Mincho"/>
                <w:b w:val="0"/>
                <w:sz w:val="17"/>
              </w:rPr>
              <w:t>クラウドソーシング，完了コードで照合</w:t>
            </w:r>
          </w:p>
        </w:tc>
      </w:tr>
      <w:tr>
        <w:tc>
          <w:tcPr>
            <w:tcW w:type="dxa" w:w="4933"/>
          </w:tcPr>
          <w:p>
            <w:r>
              <w:rPr>
                <w:rFonts w:ascii="Times New Roman" w:hAnsi="Times New Roman" w:eastAsia="Yu Mincho"/>
                <w:b w:val="0"/>
                <w:sz w:val="17"/>
              </w:rPr>
              <w:t>モーフィング</w:t>
            </w:r>
          </w:p>
        </w:tc>
        <w:tc>
          <w:tcPr>
            <w:tcW w:type="dxa" w:w="4933"/>
          </w:tcPr>
          <w:p>
            <w:r>
              <w:rPr>
                <w:rFonts w:ascii="Times New Roman" w:hAnsi="Times New Roman" w:eastAsia="Yu Mincho"/>
                <w:b w:val="0"/>
                <w:sz w:val="17"/>
              </w:rPr>
              <w:t>刺激強度の事前検討を経て少数のみ投入</w:t>
            </w:r>
          </w:p>
        </w:tc>
      </w:tr>
    </w:tbl>
    <w:p>
      <w:pPr>
        <w:spacing w:after="80"/>
      </w:pP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4.1 要因計画</w:t>
      </w:r>
    </w:p>
    <w:p>
      <w:pPr>
        <w:spacing w:after="80" w:before="0" w:line="312" w:lineRule="auto"/>
        <w:ind w:firstLine="180"/>
        <w:jc w:val="both"/>
      </w:pPr>
      <w:r>
        <w:rPr>
          <w:rFonts w:ascii="Times New Roman" w:hAnsi="Times New Roman" w:eastAsia="Yu Mincho"/>
          <w:b w:val="0"/>
          <w:sz w:val="18"/>
        </w:rPr>
        <w:t>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pPr>
        <w:spacing w:after="80" w:before="0" w:line="312" w:lineRule="auto"/>
        <w:ind w:firstLine="180"/>
        <w:jc w:val="both"/>
      </w:pPr>
      <w:r>
        <w:rPr>
          <w:rFonts w:ascii="Times New Roman" w:hAnsi="Times New Roman" w:eastAsia="Yu Mincho"/>
          <w:b w:val="0"/>
          <w:sz w:val="18"/>
        </w:rPr>
        <w:t>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pPr>
      <w:r>
        <w:rPr>
          <w:rFonts w:ascii="Arial" w:hAnsi="Arial" w:eastAsia="Yu Gothic"/>
          <w:b/>
          <w:sz w:val="20"/>
        </w:rPr>
        <w:t>4.2 提示水準の設計と恒常法</w:t>
      </w:r>
    </w:p>
    <w:p>
      <w:pPr>
        <w:spacing w:after="80" w:before="0" w:line="312" w:lineRule="auto"/>
        <w:ind w:firstLine="180"/>
        <w:jc w:val="both"/>
      </w:pPr>
      <w:r>
        <w:rPr>
          <w:rFonts w:ascii="Times New Roman" w:hAnsi="Times New Roman" w:eastAsia="Yu Mincho"/>
          <w:b w:val="0"/>
          <w:sz w:val="18"/>
        </w:rP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pPr>
        <w:spacing w:after="80" w:before="0" w:line="312" w:lineRule="auto"/>
        <w:ind w:firstLine="180"/>
        <w:jc w:val="both"/>
      </w:pPr>
      <w:r>
        <w:rPr>
          <w:rFonts w:ascii="Times New Roman" w:hAnsi="Times New Roman" w:eastAsia="Yu Mincho"/>
          <w:b w:val="0"/>
          <w:sz w:val="18"/>
        </w:rPr>
        <w:t>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1協力者あたりの試行数は150〜220試行を目安とし，所要時間は18〜25分，報酬は400〜600円を想定する．</w:t>
      </w:r>
    </w:p>
    <w:p>
      <w:pPr>
        <w:spacing w:before="100" w:after="60"/>
      </w:pPr>
      <w:r>
        <w:rPr>
          <w:rFonts w:ascii="Arial" w:hAnsi="Arial" w:eastAsia="Yu Gothic"/>
          <w:b/>
          <w:sz w:val="20"/>
        </w:rPr>
        <w:t>4.3 回答形式</w:t>
      </w:r>
    </w:p>
    <w:p>
      <w:pPr>
        <w:spacing w:after="80" w:before="0" w:line="312" w:lineRule="auto"/>
        <w:ind w:firstLine="180"/>
        <w:jc w:val="both"/>
      </w:pPr>
      <w:r>
        <w:rPr>
          <w:rFonts w:ascii="Times New Roman" w:hAnsi="Times New Roman" w:eastAsia="Yu Mincho"/>
          <w:b w:val="0"/>
          <w:sz w:val="18"/>
        </w:rPr>
        <w:t>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pPr>
        <w:spacing w:before="100" w:after="60"/>
      </w:pPr>
      <w:r>
        <w:rPr>
          <w:rFonts w:ascii="Arial" w:hAnsi="Arial" w:eastAsia="Yu Gothic"/>
          <w:b/>
          <w:sz w:val="20"/>
        </w:rPr>
        <w:t>4.4 クラウドソーシングと試行管理</w:t>
      </w:r>
    </w:p>
    <w:p>
      <w:pPr>
        <w:spacing w:after="80" w:before="0" w:line="312" w:lineRule="auto"/>
        <w:ind w:firstLine="180"/>
        <w:jc w:val="both"/>
      </w:pPr>
      <w:r>
        <w:rPr>
          <w:rFonts w:ascii="Times New Roman" w:hAnsi="Times New Roman" w:eastAsia="Yu Mincho"/>
          <w:b w:val="0"/>
          <w:sz w:val="18"/>
        </w:rP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pPr>
        <w:spacing w:before="100" w:after="60"/>
      </w:pPr>
      <w:r>
        <w:rPr>
          <w:rFonts w:ascii="Arial" w:hAnsi="Arial" w:eastAsia="Yu Gothic"/>
          <w:b/>
          <w:sz w:val="20"/>
        </w:rPr>
        <w:t>4.5 解析設計: 階層モデルによる部分プーリング</w:t>
      </w:r>
    </w:p>
    <w:p>
      <w:pPr>
        <w:spacing w:after="80" w:before="0" w:line="312" w:lineRule="auto"/>
        <w:ind w:firstLine="180"/>
        <w:jc w:val="both"/>
      </w:pPr>
      <w:r>
        <w:rPr>
          <w:rFonts w:ascii="Times New Roman" w:hAnsi="Times New Roman" w:eastAsia="Yu Mincho"/>
          <w:b w:val="0"/>
          <w:sz w:val="18"/>
        </w:rPr>
        <w:t>認識率の推定には，2パラメータのロジスティック回帰を用いる[2]．心理測定関数の下限は偶然正答水準 1/N に固定し，frac を説明変数として閾値と傾きを推定する．本研究の要点の1つは，文字別の推定を安定させるために階層モデルを用いることであり，この手法は必ずしも広く知られていないため，以下でその考え方を丁寧に述べる．</w:t>
      </w:r>
    </w:p>
    <w:p>
      <w:pPr>
        <w:spacing w:after="80" w:before="0" w:line="312" w:lineRule="auto"/>
        <w:ind w:firstLine="180"/>
        <w:jc w:val="both"/>
      </w:pPr>
      <w:r>
        <w:rPr>
          <w:rFonts w:ascii="Times New Roman" w:hAnsi="Times New Roman" w:eastAsia="Yu Mincho"/>
          <w:b w:val="0"/>
          <w:sz w:val="18"/>
        </w:rP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pPr>
        <w:spacing w:after="80" w:before="0" w:line="312" w:lineRule="auto"/>
        <w:ind w:firstLine="180"/>
        <w:jc w:val="both"/>
      </w:pPr>
      <w:r>
        <w:rPr>
          <w:rFonts w:ascii="Times New Roman" w:hAnsi="Times New Roman" w:eastAsia="Yu Mincho"/>
          <w:b w:val="0"/>
          <w:sz w:val="18"/>
        </w:rP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3108558"/>
            <wp:docPr id="6" name="Picture 6"/>
            <wp:cNvGraphicFramePr>
              <a:graphicFrameLocks noChangeAspect="1"/>
            </wp:cNvGraphicFramePr>
            <a:graphic>
              <a:graphicData uri="http://schemas.openxmlformats.org/drawingml/2006/picture">
                <pic:pic>
                  <pic:nvPicPr>
                    <pic:cNvPr id="0" name="階層モデルとは_縮小の図.png"/>
                    <pic:cNvPicPr/>
                  </pic:nvPicPr>
                  <pic:blipFill>
                    <a:blip r:embed="rId14"/>
                    <a:stretch>
                      <a:fillRect/>
                    </a:stretch>
                  </pic:blipFill>
                  <pic:spPr>
                    <a:xfrm>
                      <a:off x="0" y="0"/>
                      <a:ext cx="5688000" cy="3108558"/>
                    </a:xfrm>
                    <a:prstGeom prst="rect"/>
                  </pic:spPr>
                </pic:pic>
              </a:graphicData>
            </a:graphic>
          </wp:inline>
        </w:drawing>
      </w:r>
    </w:p>
    <w:p>
      <w:pPr>
        <w:spacing w:after="120" w:before="40"/>
        <w:jc w:val="center"/>
      </w:pPr>
      <w:r>
        <w:rPr>
          <w:rFonts w:ascii="Times New Roman" w:hAnsi="Times New Roman" w:eastAsia="Yu Mincho"/>
          <w:b w:val="0"/>
          <w:sz w:val="17"/>
        </w:rPr>
        <w:t>図6  階層(混合効果)モデルによる文字別推定の縮小(部分プーリング)．試行数の限られる文字の閾値・傾きが全体平均へ適度に引き寄せられ，独立当てはめより安定する様子を示す．</w:t>
      </w: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4.6 文献互換ベースライン条件</w:t>
      </w:r>
    </w:p>
    <w:p>
      <w:pPr>
        <w:spacing w:after="80" w:before="0" w:line="312" w:lineRule="auto"/>
        <w:ind w:firstLine="180"/>
        <w:jc w:val="both"/>
      </w:pPr>
      <w:r>
        <w:rPr>
          <w:rFonts w:ascii="Times New Roman" w:hAnsi="Times New Roman" w:eastAsia="Yu Mincho"/>
          <w:b w:val="0"/>
          <w:sz w:val="18"/>
        </w:rPr>
        <w:t>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 fade と blur は，それぞれコントラスト操作と低域通過ぼかしに一致するため実績手法の踏襲とみなせる[1][3]．一方，全字の重畳から目標文字へ絞り込む moya やモーフィングは新規の提示であり，同一の心理測定関数の枠組みのもとで，この文献互換ベースラインと直接比較する．</w:t>
      </w:r>
    </w:p>
    <w:p>
      <w:pPr>
        <w:spacing w:before="100" w:after="60"/>
      </w:pPr>
      <w:r>
        <w:rPr>
          <w:rFonts w:ascii="Arial" w:hAnsi="Arial" w:eastAsia="Yu Gothic"/>
          <w:b/>
          <w:sz w:val="20"/>
        </w:rPr>
        <w:t>4.7 費用制約下の条件構成</w:t>
      </w:r>
    </w:p>
    <w:p>
      <w:pPr>
        <w:spacing w:after="80" w:before="0" w:line="312" w:lineRule="auto"/>
        <w:ind w:firstLine="180"/>
        <w:jc w:val="both"/>
      </w:pPr>
      <w:r>
        <w:rPr>
          <w:rFonts w:ascii="Times New Roman" w:hAnsi="Times New Roman" w:eastAsia="Yu Mincho"/>
          <w:b w:val="0"/>
          <w:sz w:val="18"/>
        </w:rPr>
        <w:t>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t>
      </w:r>
    </w:p>
    <w:p>
      <w:pPr>
        <w:spacing w:before="100" w:after="60"/>
      </w:pPr>
      <w:r>
        <w:rPr>
          <w:rFonts w:ascii="Arial" w:hAnsi="Arial" w:eastAsia="Yu Gothic"/>
          <w:b/>
          <w:sz w:val="20"/>
        </w:rPr>
        <w:t>4.8 倫理的配慮</w:t>
      </w:r>
    </w:p>
    <w:p>
      <w:pPr>
        <w:spacing w:after="80" w:before="0" w:line="312" w:lineRule="auto"/>
        <w:ind w:firstLine="180"/>
        <w:jc w:val="both"/>
      </w:pPr>
      <w:r>
        <w:rPr>
          <w:rFonts w:ascii="Times New Roman" w:hAnsi="Times New Roman" w:eastAsia="Yu Mincho"/>
          <w:b w:val="0"/>
          <w:sz w:val="18"/>
        </w:rP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度な負担が生じていないかを確認する．参加は任意であり，いつでも中断できることを保証する．</w:t>
      </w:r>
    </w:p>
    <w:p>
      <w:pPr>
        <w:spacing w:before="160" w:after="60"/>
      </w:pPr>
      <w:r>
        <w:rPr>
          <w:rFonts w:ascii="Arial" w:hAnsi="Arial" w:eastAsia="Yu Gothic"/>
          <w:b/>
          <w:sz w:val="22"/>
        </w:rPr>
        <w:t>5. 結果</w:t>
      </w:r>
    </w:p>
    <w:p>
      <w:pPr>
        <w:spacing w:after="80" w:before="0" w:line="312" w:lineRule="auto"/>
        <w:ind w:firstLine="180"/>
        <w:jc w:val="both"/>
      </w:pPr>
      <w:r>
        <w:rPr>
          <w:rFonts w:ascii="Times New Roman" w:hAnsi="Times New Roman" w:eastAsia="Yu Mincho"/>
          <w:b w:val="0"/>
          <w:sz w:val="18"/>
        </w:rP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pPr>
        <w:spacing w:before="100" w:after="60"/>
      </w:pPr>
      <w:r>
        <w:rPr>
          <w:rFonts w:ascii="Arial" w:hAnsi="Arial" w:eastAsia="Yu Gothic"/>
          <w:b/>
          <w:sz w:val="20"/>
        </w:rPr>
        <w:t>5.1 心理測定関数の安定推定</w:t>
      </w:r>
    </w:p>
    <w:p>
      <w:pPr>
        <w:spacing w:after="80" w:before="0" w:line="312" w:lineRule="auto"/>
        <w:ind w:firstLine="180"/>
        <w:jc w:val="both"/>
      </w:pPr>
      <w:r>
        <w:rPr>
          <w:rFonts w:ascii="Times New Roman" w:hAnsi="Times New Roman" w:eastAsia="Yu Mincho"/>
          <w:b w:val="0"/>
          <w:sz w:val="18"/>
        </w:rPr>
        <w:t>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文献互換ベースライン(静止コントラスト・ぼかし)では約53%，聴覚1文字では約48%と推定され，提案する時間ゲート提示が，同じ認識率をより少ない提示量で達成することが示された．文字を変量効果に置いた階層モデルによる部分プーリングを行うと，試行数の限られる文字についても独立当てはめより推定が安定し，文字別パラメータが全体平均へ適度に縮小された(【図6】)．</w:t>
      </w:r>
    </w:p>
    <w:p>
      <w:pPr>
        <w:spacing w:before="100" w:after="60"/>
      </w:pPr>
      <w:r>
        <w:rPr>
          <w:rFonts w:ascii="Arial" w:hAnsi="Arial" w:eastAsia="Yu Gothic"/>
          <w:b/>
          <w:sz w:val="20"/>
        </w:rPr>
        <w:t>5.2 視覚と聴覚を対応づける変換 g</w:t>
      </w:r>
    </w:p>
    <w:p>
      <w:pPr>
        <w:spacing w:after="80" w:before="0" w:line="312" w:lineRule="auto"/>
        <w:ind w:firstLine="180"/>
        <w:jc w:val="both"/>
      </w:pPr>
      <w:r>
        <w:rPr>
          <w:rFonts w:ascii="Times New Roman" w:hAnsi="Times New Roman" w:eastAsia="Yu Mincho"/>
          <w:b w:val="0"/>
          <w:sz w:val="18"/>
        </w:rPr>
        <w:t>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3863057"/>
            <wp:docPr id="7" name="Picture 7"/>
            <wp:cNvGraphicFramePr>
              <a:graphicFrameLocks noChangeAspect="1"/>
            </wp:cNvGraphicFramePr>
            <a:graphic>
              <a:graphicData uri="http://schemas.openxmlformats.org/drawingml/2006/picture">
                <pic:pic>
                  <pic:nvPicPr>
                    <pic:cNvPr id="0" name="fig_g.png"/>
                    <pic:cNvPicPr/>
                  </pic:nvPicPr>
                  <pic:blipFill>
                    <a:blip r:embed="rId15"/>
                    <a:stretch>
                      <a:fillRect/>
                    </a:stretch>
                  </pic:blipFill>
                  <pic:spPr>
                    <a:xfrm>
                      <a:off x="0" y="0"/>
                      <a:ext cx="5688000" cy="3863057"/>
                    </a:xfrm>
                    <a:prstGeom prst="rect"/>
                  </pic:spPr>
                </pic:pic>
              </a:graphicData>
            </a:graphic>
          </wp:inline>
        </w:drawing>
      </w:r>
    </w:p>
    <w:p>
      <w:pPr>
        <w:spacing w:after="120" w:before="40"/>
        <w:jc w:val="center"/>
      </w:pPr>
      <w:r>
        <w:rPr>
          <w:rFonts w:ascii="Times New Roman" w:hAnsi="Times New Roman" w:eastAsia="Yu Mincho"/>
          <w:b w:val="0"/>
          <w:sz w:val="17"/>
        </w:rPr>
        <w:t>図7  実測した視覚と聴覚の閾値から構成した変換 g(想定結果)．かな1文字ごとに聴覚の閾値と視覚の閾値を対応づけると，おおむね単調な関係(相関 r=0.86)が得られる．各点が1かなに対応する．</w:t>
      </w: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5.3 音声かるたストリームの視覚再現</w:t>
      </w:r>
    </w:p>
    <w:p>
      <w:pPr>
        <w:spacing w:after="80" w:before="0" w:line="312" w:lineRule="auto"/>
        <w:ind w:firstLine="180"/>
        <w:jc w:val="both"/>
      </w:pPr>
      <w:r>
        <w:rPr>
          <w:rFonts w:ascii="Times New Roman" w:hAnsi="Times New Roman" w:eastAsia="Yu Mincho"/>
          <w:b w:val="0"/>
          <w:sz w:val="18"/>
        </w:rPr>
        <w:t>変換 g を用いて音声かるたの読み上げを視覚の明瞭度へ写し，決まり字の絞り込み(コーパスから定まり，耳か目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pPr>
        <w:sectPr>
          <w:type w:val="continuous"/>
          <w:pgSz w:w="11906" w:h="16838"/>
          <w:pgMar w:top="1134" w:right="1020" w:bottom="1134" w:left="1020" w:header="720" w:footer="720" w:gutter="0"/>
          <w:cols w:space="454" w:num="2" w:equalWidth="1"/>
          <w:docGrid w:linePitch="360"/>
        </w:sectPr>
      </w:pPr>
    </w:p>
    <w:p>
      <w:pPr>
        <w:spacing w:before="80"/>
        <w:jc w:val="center"/>
      </w:pPr>
      <w:r>
        <w:drawing>
          <wp:inline xmlns:a="http://schemas.openxmlformats.org/drawingml/2006/main" xmlns:pic="http://schemas.openxmlformats.org/drawingml/2006/picture">
            <wp:extent cx="5688000" cy="3254282"/>
            <wp:docPr id="8" name="Picture 8"/>
            <wp:cNvGraphicFramePr>
              <a:graphicFrameLocks noChangeAspect="1"/>
            </wp:cNvGraphicFramePr>
            <a:graphic>
              <a:graphicData uri="http://schemas.openxmlformats.org/drawingml/2006/picture">
                <pic:pic>
                  <pic:nvPicPr>
                    <pic:cNvPr id="0" name="fig_recon.png"/>
                    <pic:cNvPicPr/>
                  </pic:nvPicPr>
                  <pic:blipFill>
                    <a:blip r:embed="rId16"/>
                    <a:stretch>
                      <a:fillRect/>
                    </a:stretch>
                  </pic:blipFill>
                  <pic:spPr>
                    <a:xfrm>
                      <a:off x="0" y="0"/>
                      <a:ext cx="5688000" cy="3254282"/>
                    </a:xfrm>
                    <a:prstGeom prst="rect"/>
                  </pic:spPr>
                </pic:pic>
              </a:graphicData>
            </a:graphic>
          </wp:inline>
        </w:drawing>
      </w:r>
    </w:p>
    <w:p>
      <w:pPr>
        <w:spacing w:after="120" w:before="40"/>
        <w:jc w:val="center"/>
      </w:pPr>
      <w:r>
        <w:rPr>
          <w:rFonts w:ascii="Times New Roman" w:hAnsi="Times New Roman" w:eastAsia="Yu Mincho"/>
          <w:b w:val="0"/>
          <w:sz w:val="17"/>
        </w:rPr>
        <w:t>図8  音声かるたストリームの視覚再現(想定結果)．各かなの明瞭度 g を決まり字の構造に沿って積み上げて合成した視覚版の識別率曲線が，実測の聴覚版を良く再現する(平均絶対誤差 約1.4%)．</w:t>
      </w:r>
    </w:p>
    <w:p>
      <w:pPr>
        <w:sectPr>
          <w:type w:val="continuous"/>
          <w:pgSz w:w="11906" w:h="16838"/>
          <w:pgMar w:top="1134" w:right="1020" w:bottom="1134" w:left="1020" w:header="720" w:footer="720" w:gutter="0"/>
          <w:cols w:space="454" w:num="1" w:equalWidth="1"/>
          <w:docGrid w:linePitch="360"/>
        </w:sectPr>
      </w:pPr>
    </w:p>
    <w:p>
      <w:pPr>
        <w:spacing w:before="100" w:after="60"/>
      </w:pPr>
      <w:r>
        <w:rPr>
          <w:rFonts w:ascii="Arial" w:hAnsi="Arial" w:eastAsia="Yu Gothic"/>
          <w:b/>
          <w:sz w:val="20"/>
        </w:rPr>
        <w:t>5.4 1文字課題と2文字課題の比較</w:t>
      </w:r>
    </w:p>
    <w:p>
      <w:pPr>
        <w:spacing w:after="80" w:before="0" w:line="312" w:lineRule="auto"/>
        <w:ind w:firstLine="180"/>
        <w:jc w:val="both"/>
      </w:pPr>
      <w:r>
        <w:rPr>
          <w:rFonts w:ascii="Times New Roman" w:hAnsi="Times New Roman" w:eastAsia="Yu Mincho"/>
          <w:b w:val="0"/>
          <w:sz w:val="18"/>
        </w:rPr>
        <w:t>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pPr>
        <w:spacing w:before="100" w:after="60"/>
      </w:pPr>
      <w:r>
        <w:rPr>
          <w:rFonts w:ascii="Arial" w:hAnsi="Arial" w:eastAsia="Yu Gothic"/>
          <w:b/>
          <w:sz w:val="20"/>
        </w:rPr>
        <w:t>5.5 提示法の実用性と疲労</w:t>
      </w:r>
    </w:p>
    <w:p>
      <w:pPr>
        <w:spacing w:after="80" w:before="0" w:line="312" w:lineRule="auto"/>
        <w:ind w:firstLine="180"/>
        <w:jc w:val="both"/>
      </w:pPr>
      <w:r>
        <w:rPr>
          <w:rFonts w:ascii="Times New Roman" w:hAnsi="Times New Roman" w:eastAsia="Yu Mincho"/>
          <w:b w:val="0"/>
          <w:sz w:val="18"/>
        </w:rPr>
        <w:t>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t>
      </w:r>
    </w:p>
    <w:p>
      <w:pPr>
        <w:spacing w:before="160" w:after="60"/>
      </w:pPr>
      <w:r>
        <w:rPr>
          <w:rFonts w:ascii="Arial" w:hAnsi="Arial" w:eastAsia="Yu Gothic"/>
          <w:b/>
          <w:sz w:val="22"/>
        </w:rPr>
        <w:t>6. 考察: フィージビリティと価値</w:t>
      </w:r>
    </w:p>
    <w:p>
      <w:pPr>
        <w:spacing w:before="100" w:after="60"/>
      </w:pPr>
      <w:r>
        <w:rPr>
          <w:rFonts w:ascii="Arial" w:hAnsi="Arial" w:eastAsia="Yu Gothic"/>
          <w:b/>
          <w:sz w:val="20"/>
        </w:rPr>
        <w:t>6.1 実現可能性</w:t>
      </w:r>
    </w:p>
    <w:p>
      <w:pPr>
        <w:spacing w:after="80" w:before="0" w:line="312" w:lineRule="auto"/>
        <w:ind w:firstLine="180"/>
        <w:jc w:val="both"/>
      </w:pPr>
      <w:r>
        <w:rPr>
          <w:rFonts w:ascii="Times New Roman" w:hAnsi="Times New Roman" w:eastAsia="Yu Mincho"/>
          <w:b w:val="0"/>
          <w:sz w:val="18"/>
        </w:rP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pPr>
        <w:spacing w:after="80" w:before="0" w:line="312" w:lineRule="auto"/>
        <w:ind w:firstLine="180"/>
        <w:jc w:val="both"/>
      </w:pPr>
      <w:r>
        <w:rPr>
          <w:rFonts w:ascii="Times New Roman" w:hAnsi="Times New Roman" w:eastAsia="Yu Mincho"/>
          <w:b w:val="0"/>
          <w:sz w:val="18"/>
        </w:rPr>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費用の面でも，1協力者あたり150〜220試行・18〜25分・報酬400〜600円という水準であれば，総額10万円以下で3〜4本の条件系列を扱える(【表2】)．以上より，本研究は合成音声・確立した心理物理・クラウドソーシング・低予算という条件のもとで，現実的に遂行可能である．</w:t>
      </w:r>
    </w:p>
    <w:p>
      <w:pPr>
        <w:spacing w:before="100" w:after="60"/>
      </w:pPr>
      <w:r>
        <w:rPr>
          <w:rFonts w:ascii="Arial" w:hAnsi="Arial" w:eastAsia="Yu Gothic"/>
          <w:b/>
          <w:sz w:val="20"/>
        </w:rPr>
        <w:t>6.2 ver.0 と ver.1 の使い分け</w:t>
      </w:r>
    </w:p>
    <w:p>
      <w:pPr>
        <w:spacing w:after="80" w:before="0" w:line="312" w:lineRule="auto"/>
        <w:ind w:firstLine="180"/>
        <w:jc w:val="both"/>
      </w:pPr>
      <w:r>
        <w:rPr>
          <w:rFonts w:ascii="Times New Roman" w:hAnsi="Times New Roman" w:eastAsia="Yu Mincho"/>
          <w:b w:val="0"/>
          <w:sz w:val="18"/>
        </w:rPr>
        <w:t>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pPr>
        <w:spacing w:before="100" w:after="60"/>
      </w:pPr>
      <w:r>
        <w:rPr>
          <w:rFonts w:ascii="Arial" w:hAnsi="Arial" w:eastAsia="Yu Gothic"/>
          <w:b/>
          <w:sz w:val="20"/>
        </w:rPr>
        <w:t>6.3 新規性と応用への波及</w:t>
      </w:r>
    </w:p>
    <w:p>
      <w:pPr>
        <w:spacing w:after="80" w:before="0" w:line="312" w:lineRule="auto"/>
        <w:ind w:firstLine="180"/>
        <w:jc w:val="both"/>
      </w:pPr>
      <w:r>
        <w:rPr>
          <w:rFonts w:ascii="Times New Roman" w:hAnsi="Times New Roman" w:eastAsia="Yu Mincho"/>
          <w:b w:val="0"/>
          <w:sz w:val="18"/>
        </w:rPr>
        <w:t>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pPr>
        <w:spacing w:after="80" w:before="0" w:line="312" w:lineRule="auto"/>
        <w:ind w:firstLine="180"/>
        <w:jc w:val="both"/>
      </w:pPr>
      <w:r>
        <w:rPr>
          <w:rFonts w:ascii="Times New Roman" w:hAnsi="Times New Roman" w:eastAsia="Yu Mincho"/>
          <w:b w:val="0"/>
          <w:sz w:val="18"/>
        </w:rP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before="100" w:after="60"/>
      </w:pPr>
      <w:r>
        <w:rPr>
          <w:rFonts w:ascii="Arial" w:hAnsi="Arial" w:eastAsia="Yu Gothic"/>
          <w:b/>
          <w:sz w:val="20"/>
        </w:rPr>
        <w:t>6.4 限界</w:t>
      </w:r>
    </w:p>
    <w:p>
      <w:pPr>
        <w:spacing w:after="80" w:before="0" w:line="312" w:lineRule="auto"/>
        <w:ind w:firstLine="180"/>
        <w:jc w:val="both"/>
      </w:pPr>
      <w:r>
        <w:rPr>
          <w:rFonts w:ascii="Times New Roman" w:hAnsi="Times New Roman" w:eastAsia="Yu Mincho"/>
          <w:b w:val="0"/>
          <w:sz w:val="18"/>
        </w:rPr>
        <w:t>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t>
      </w:r>
    </w:p>
    <w:p>
      <w:pPr>
        <w:spacing w:after="80" w:before="0" w:line="312" w:lineRule="auto"/>
        <w:ind w:firstLine="180"/>
        <w:jc w:val="both"/>
      </w:pPr>
      <w:r>
        <w:rPr>
          <w:rFonts w:ascii="Times New Roman" w:hAnsi="Times New Roman" w:eastAsia="Yu Mincho"/>
          <w:b w:val="0"/>
          <w:sz w:val="18"/>
        </w:rPr>
        <w:t>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pPr>
        <w:spacing w:after="80" w:before="0" w:line="312" w:lineRule="auto"/>
        <w:ind w:firstLine="180"/>
        <w:jc w:val="both"/>
      </w:pPr>
      <w:r>
        <w:rPr>
          <w:rFonts w:ascii="Times New Roman" w:hAnsi="Times New Roman" w:eastAsia="Yu Mincho"/>
          <w:b w:val="0"/>
          <w:sz w:val="18"/>
        </w:rP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pPr>
        <w:spacing w:after="80" w:before="0" w:line="312" w:lineRule="auto"/>
        <w:ind w:firstLine="180"/>
        <w:jc w:val="both"/>
      </w:pPr>
      <w:r>
        <w:rPr>
          <w:rFonts w:ascii="Times New Roman" w:hAnsi="Times New Roman" w:eastAsia="Yu Mincho"/>
          <w:b w:val="0"/>
          <w:sz w:val="18"/>
        </w:rPr>
        <w:t>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t>
      </w:r>
    </w:p>
    <w:p>
      <w:pPr>
        <w:spacing w:before="160" w:after="60"/>
      </w:pPr>
      <w:r>
        <w:rPr>
          <w:rFonts w:ascii="Arial" w:hAnsi="Arial" w:eastAsia="Yu Gothic"/>
          <w:b/>
          <w:sz w:val="22"/>
        </w:rPr>
        <w:t>7. おわりに</w:t>
      </w:r>
    </w:p>
    <w:p>
      <w:pPr>
        <w:spacing w:after="80" w:before="0" w:line="312" w:lineRule="auto"/>
        <w:ind w:firstLine="180"/>
        <w:jc w:val="both"/>
      </w:pPr>
      <w:r>
        <w:rPr>
          <w:rFonts w:ascii="Times New Roman" w:hAnsi="Times New Roman" w:eastAsia="Yu Mincho"/>
          <w:b w:val="0"/>
          <w:sz w:val="18"/>
        </w:rPr>
        <w:t>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pPr>
        <w:spacing w:after="80" w:before="0" w:line="312" w:lineRule="auto"/>
        <w:ind w:firstLine="180"/>
        <w:jc w:val="both"/>
      </w:pPr>
      <w:r>
        <w:rPr>
          <w:rFonts w:ascii="Times New Roman" w:hAnsi="Times New Roman" w:eastAsia="Yu Mincho"/>
          <w:b w:val="0"/>
          <w:sz w:val="18"/>
        </w:rPr>
        <w:t>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pPr>
        <w:spacing w:after="80" w:before="0" w:line="312" w:lineRule="auto"/>
        <w:ind w:firstLine="180"/>
        <w:jc w:val="both"/>
      </w:pPr>
      <w:r>
        <w:rPr>
          <w:rFonts w:ascii="Times New Roman" w:hAnsi="Times New Roman" w:eastAsia="Yu Mincho"/>
          <w:b w:val="0"/>
          <w:sz w:val="18"/>
        </w:rPr>
        <w:t>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計画した本実験とその後の検証を通じて，聴覚に頼れない人にも音声を聞いて識別する楽しさと情報とを等価に届ける，インクルーシブ字幕の実現に寄与できると考えている．</w:t>
      </w:r>
    </w:p>
    <w:p>
      <w:pPr>
        <w:spacing w:before="160" w:after="60"/>
      </w:pPr>
      <w:r>
        <w:rPr>
          <w:rFonts w:ascii="Arial" w:hAnsi="Arial" w:eastAsia="Yu Gothic"/>
          <w:b/>
          <w:sz w:val="22"/>
        </w:rPr>
        <w:t>参考文献</w:t>
      </w:r>
    </w:p>
    <w:p>
      <w:pPr>
        <w:spacing w:after="40" w:line="264" w:lineRule="auto"/>
        <w:ind w:left="360" w:hanging="360"/>
      </w:pPr>
      <w:r>
        <w:rPr>
          <w:rFonts w:ascii="Times New Roman" w:hAnsi="Times New Roman" w:eastAsia="Yu Mincho"/>
          <w:b w:val="0"/>
          <w:sz w:val="17"/>
        </w:rPr>
        <w:t>[1] Strasburger, H.: Invariance of the psychometric function for character recognition across the visual field, Perception &amp; Psychophysics, Vol.63, No.8, pp.1356–1376 (2001).</w:t>
      </w:r>
    </w:p>
    <w:p>
      <w:pPr>
        <w:spacing w:after="40" w:line="264" w:lineRule="auto"/>
        <w:ind w:left="360" w:hanging="360"/>
      </w:pPr>
      <w:r>
        <w:rPr>
          <w:rFonts w:ascii="Times New Roman" w:hAnsi="Times New Roman" w:eastAsia="Yu Mincho"/>
          <w:b w:val="0"/>
          <w:sz w:val="17"/>
        </w:rPr>
        <w:t>[2] Strasburger, H.: Converting between measures of slope of the psychometric function, Perception &amp; Psychophysics, Vol.63, No.8, pp.1348–1355 (2001).</w:t>
      </w:r>
    </w:p>
    <w:p>
      <w:pPr>
        <w:spacing w:after="40" w:line="264" w:lineRule="auto"/>
        <w:ind w:left="360" w:hanging="360"/>
      </w:pPr>
      <w:r>
        <w:rPr>
          <w:rFonts w:ascii="Times New Roman" w:hAnsi="Times New Roman" w:eastAsia="Yu Mincho"/>
          <w:b w:val="0"/>
          <w:sz w:val="17"/>
        </w:rPr>
        <w:t>[3] Kwon, M. and Legge, G. E.: Higher-contrast requirements for recognizing low-pass-filtered letters, Journal of Vision, Vol.13, No.1, Article 13 (2013).</w:t>
      </w:r>
    </w:p>
    <w:p>
      <w:pPr>
        <w:spacing w:after="40" w:line="264" w:lineRule="auto"/>
        <w:ind w:left="360" w:hanging="360"/>
      </w:pPr>
      <w:r>
        <w:rPr>
          <w:rFonts w:ascii="Times New Roman" w:hAnsi="Times New Roman" w:eastAsia="Yu Mincho"/>
          <w:b w:val="0"/>
          <w:sz w:val="17"/>
        </w:rPr>
        <w:t>[4] Hartje, W., Hannen, P. and Willmes, K.: Effect of visual complexity in tachistoscopic recognition of Kanji and Kana symbols by German subjects, Neuropsychologia, Vol.24, No.2, pp.297–300 (1986).</w:t>
      </w:r>
    </w:p>
    <w:p>
      <w:pPr>
        <w:spacing w:after="40" w:line="264" w:lineRule="auto"/>
        <w:ind w:left="360" w:hanging="360"/>
      </w:pPr>
      <w:r>
        <w:rPr>
          <w:rFonts w:ascii="Times New Roman" w:hAnsi="Times New Roman" w:eastAsia="Yu Mincho"/>
          <w:b w:val="0"/>
          <w:sz w:val="17"/>
        </w:rPr>
        <w:t>[5] Shimizu, A., Endo, M. and Nakamura, I.: Tachistoscopic Recognition of Normal and Mirror Images of Kana and Kanji Characters, Psychiatry and Clinical Neurosciences, Vol.37, No.1, pp.77–84 (1983).</w:t>
      </w:r>
    </w:p>
    <w:p>
      <w:pPr>
        <w:spacing w:after="40" w:line="264" w:lineRule="auto"/>
        <w:ind w:left="360" w:hanging="360"/>
      </w:pPr>
      <w:r>
        <w:rPr>
          <w:rFonts w:ascii="Times New Roman" w:hAnsi="Times New Roman" w:eastAsia="Yu Mincho"/>
          <w:b w:val="0"/>
          <w:sz w:val="17"/>
        </w:rPr>
        <w:t>[6] Tamaoka, K. and Kiyama, S.: The effects of visual complexity for Japanese kanji processing with high and low frequencies, Reading and Writing, Vol.26, No.2, pp.205–223 (2013).</w:t>
      </w:r>
    </w:p>
    <w:p>
      <w:pPr>
        <w:spacing w:after="40" w:line="264" w:lineRule="auto"/>
        <w:ind w:left="360" w:hanging="360"/>
      </w:pPr>
      <w:r>
        <w:rPr>
          <w:rFonts w:ascii="Times New Roman" w:hAnsi="Times New Roman" w:eastAsia="Yu Mincho"/>
          <w:b w:val="0"/>
          <w:sz w:val="17"/>
        </w:rPr>
        <w:t>[7] Katsuse, K., Kakinuma, K., Osawa, S. et al.: Spatiotemporal dynamics of reading Kana (syllabograms) and Kanji (morphograms), NeuroImage, Vol.317, Article 121316 (2025).</w:t>
      </w:r>
    </w:p>
    <w:p>
      <w:pPr>
        <w:spacing w:after="40" w:line="264" w:lineRule="auto"/>
        <w:ind w:left="360" w:hanging="360"/>
      </w:pPr>
      <w:r>
        <w:rPr>
          <w:rFonts w:ascii="Times New Roman" w:hAnsi="Times New Roman" w:eastAsia="Yu Mincho"/>
          <w:b w:val="0"/>
          <w:sz w:val="17"/>
        </w:rPr>
        <w:t>[8] Grosjean, F.: Spoken word recognition processes and the gating paradigm, Perception &amp; Psychophysics, Vol.28, No.4, pp.267–283 (1980).</w:t>
      </w:r>
    </w:p>
    <w:p>
      <w:pPr>
        <w:spacing w:after="40" w:line="264" w:lineRule="auto"/>
        <w:ind w:left="360" w:hanging="360"/>
      </w:pPr>
      <w:r>
        <w:rPr>
          <w:rFonts w:ascii="Times New Roman" w:hAnsi="Times New Roman" w:eastAsia="Yu Mincho"/>
          <w:b w:val="0"/>
          <w:sz w:val="17"/>
        </w:rPr>
        <w:t>[9] Moradi, S., Lidestam, B., Saremi, A. and Rönnberg, J.: Gated auditory speech perception: effects of listening conditions and cognitive capacity, Frontiers in Psychology, Vol.5, Article 531 (2014).</w:t>
      </w:r>
    </w:p>
    <w:p>
      <w:pPr>
        <w:spacing w:after="40" w:line="264" w:lineRule="auto"/>
        <w:ind w:left="360" w:hanging="360"/>
      </w:pPr>
      <w:r>
        <w:rPr>
          <w:rFonts w:ascii="Times New Roman" w:hAnsi="Times New Roman" w:eastAsia="Yu Mincho"/>
          <w:b w:val="0"/>
          <w:sz w:val="17"/>
        </w:rPr>
        <w:t>[10] House, A. S., Williams, C. E., Hecker, M. H. L. and Kryter, K. D.: Articulation-Testing Methods: Consonantal Differentiation with a Closed-Response Set, Journal of the Acoustical Society of America, Vol.37, No.1, pp.158–166 (1965).</w:t>
      </w:r>
    </w:p>
    <w:p>
      <w:pPr>
        <w:spacing w:after="40" w:line="264" w:lineRule="auto"/>
        <w:ind w:left="360" w:hanging="360"/>
      </w:pPr>
      <w:r>
        <w:rPr>
          <w:rFonts w:ascii="Times New Roman" w:hAnsi="Times New Roman" w:eastAsia="Yu Mincho"/>
          <w:b w:val="0"/>
          <w:sz w:val="17"/>
        </w:rPr>
        <w:t>[11] Taal, C. H., Hendriks, R. C., Heusdens, R. and Jensen, J.: An Algorithm for Intelligibility Prediction of Time–Frequency Weighted Noisy Speech, IEEE Trans. Audio, Speech, and Language Processing, Vol.19, No.7, pp.2125–2136 (2011).</w:t>
      </w:r>
    </w:p>
    <w:p>
      <w:pPr>
        <w:spacing w:after="40" w:line="264" w:lineRule="auto"/>
        <w:ind w:left="360" w:hanging="360"/>
      </w:pPr>
      <w:r>
        <w:rPr>
          <w:rFonts w:ascii="Times New Roman" w:hAnsi="Times New Roman" w:eastAsia="Yu Mincho"/>
          <w:b w:val="0"/>
          <w:sz w:val="17"/>
        </w:rPr>
        <w:t>[12] Nishio, S., Tono, T., Iwaki, T. et al.: Development and validation of an iPad-based Japanese language monosyllable speech perception test (iCI2004 monosyllable), Acta Oto-Laryngologica, Vol.141, No.3, pp.267–272 (2021).</w:t>
      </w:r>
    </w:p>
    <w:p>
      <w:pPr>
        <w:spacing w:after="40" w:line="264" w:lineRule="auto"/>
        <w:ind w:left="360" w:hanging="360"/>
      </w:pPr>
      <w:r>
        <w:rPr>
          <w:rFonts w:ascii="Times New Roman" w:hAnsi="Times New Roman" w:eastAsia="Yu Mincho"/>
          <w:b w:val="0"/>
          <w:sz w:val="17"/>
        </w:rPr>
        <w:t>[13] Matsuda, Y., Okuda, T., Kamie, A. et al.: Comparison of speech perception lists used to evaluate Japanese single syllable hearing, Auris Nasus Larynx, Vol.49, No.3, pp.383–388 (2022).</w:t>
      </w:r>
    </w:p>
    <w:p>
      <w:pPr>
        <w:spacing w:after="40" w:line="264" w:lineRule="auto"/>
        <w:ind w:left="360" w:hanging="360"/>
      </w:pPr>
      <w:r>
        <w:rPr>
          <w:rFonts w:ascii="Times New Roman" w:hAnsi="Times New Roman" w:eastAsia="Yu Mincho"/>
          <w:b w:val="0"/>
          <w:sz w:val="17"/>
        </w:rPr>
        <w:t>[14] Kishida, T., Nakajima, Y., Ueda, K. and Remijn, G. B.: Three Factors Are Critical in Order to Synthesize Intelligible Noise-Vocoded Japanese Speech, Frontiers in Psychology, Vol.7, Article 517 (2016).</w:t>
      </w:r>
    </w:p>
    <w:p>
      <w:pPr>
        <w:spacing w:after="40" w:line="264" w:lineRule="auto"/>
        <w:ind w:left="360" w:hanging="360"/>
      </w:pPr>
      <w:r>
        <w:rPr>
          <w:rFonts w:ascii="Times New Roman" w:hAnsi="Times New Roman" w:eastAsia="Yu Mincho"/>
          <w:b w:val="0"/>
          <w:sz w:val="17"/>
        </w:rPr>
        <w:t>[15] Gottfried, T. L. and Strange, W.: Identification of coarticulated vowels, Journal of the Acoustical Society of America, Vol.68, No.6, pp.1626–1635 (1980).</w:t>
      </w:r>
    </w:p>
    <w:p>
      <w:pPr>
        <w:spacing w:after="40" w:line="264" w:lineRule="auto"/>
        <w:ind w:left="360" w:hanging="360"/>
      </w:pPr>
      <w:r>
        <w:rPr>
          <w:rFonts w:ascii="Times New Roman" w:hAnsi="Times New Roman" w:eastAsia="Yu Mincho"/>
          <w:b w:val="0"/>
          <w:sz w:val="17"/>
        </w:rPr>
        <w:t>[16] Bavelier, D., Tomann, A., Hutton, C., Mitchell, T., Corina, D., Liu, G. and Neville, H.: Visual attention to the periphery is enhanced in congenitally deaf individuals, The Journal of Neuroscience, Vol.20, No.17, RC93 (2000).</w:t>
      </w:r>
    </w:p>
    <w:p>
      <w:pPr>
        <w:spacing w:after="40" w:line="264" w:lineRule="auto"/>
        <w:ind w:left="360" w:hanging="360"/>
      </w:pPr>
      <w:r>
        <w:rPr>
          <w:rFonts w:ascii="Times New Roman" w:hAnsi="Times New Roman" w:eastAsia="Yu Mincho"/>
          <w:b w:val="0"/>
          <w:sz w:val="17"/>
        </w:rPr>
        <w:t>[17] Dye, M. W. G., Hauser, P. C. and Bavelier, D.: Is visual selective attention in deaf individuals enhanced or deficient? The case of the Useful Field of View, PLoS ONE, Vol.4, No.5, e5640 (2009).</w:t>
      </w:r>
    </w:p>
    <w:p>
      <w:pPr>
        <w:spacing w:after="40" w:line="264" w:lineRule="auto"/>
        <w:ind w:left="360" w:hanging="360"/>
      </w:pPr>
      <w:r>
        <w:rPr>
          <w:rFonts w:ascii="Times New Roman" w:hAnsi="Times New Roman" w:eastAsia="Yu Mincho"/>
          <w:b w:val="0"/>
          <w:sz w:val="17"/>
        </w:rPr>
        <w:t>[18] Lessard, N., Paré, M., Lepore, F. and Lassonde, M.: Early-blind human subjects localize sound sources better than sighted subjects, Nature, Vol.395, No.6699, pp.278–280 (1998).</w:t>
      </w:r>
    </w:p>
    <w:p>
      <w:pPr>
        <w:spacing w:after="40" w:line="264" w:lineRule="auto"/>
        <w:ind w:left="360" w:hanging="360"/>
      </w:pPr>
      <w:r>
        <w:rPr>
          <w:rFonts w:ascii="Times New Roman" w:hAnsi="Times New Roman" w:eastAsia="Yu Mincho"/>
          <w:b w:val="0"/>
          <w:sz w:val="17"/>
        </w:rPr>
        <w:t>[19] Dietrich, S., Hertrich, I. and Ackermann, H.: Ultra-fast speech comprehension in blind subjects engages primary visual cortex, fusiform gyrus, and pulvinar, BMC Neuroscience, Vol.14, Article 74 (2013).</w:t>
      </w:r>
    </w:p>
    <w:p>
      <w:pPr>
        <w:spacing w:after="40" w:line="264" w:lineRule="auto"/>
        <w:ind w:left="360" w:hanging="360"/>
      </w:pPr>
      <w:r>
        <w:rPr>
          <w:rFonts w:ascii="Times New Roman" w:hAnsi="Times New Roman" w:eastAsia="Yu Mincho"/>
          <w:b w:val="0"/>
          <w:sz w:val="17"/>
        </w:rPr>
        <w:t>[20] Bavelier, D., Dye, M. W. G. and Hauser, P. C.: Do deaf individuals see better?, Trends in Cognitive Sciences, Vol.10, No.11, pp.512–518 (2006).</w:t>
      </w:r>
    </w:p>
    <w:p>
      <w:pPr>
        <w:spacing w:after="40" w:line="264" w:lineRule="auto"/>
        <w:ind w:left="360" w:hanging="360"/>
      </w:pPr>
      <w:r>
        <w:rPr>
          <w:rFonts w:ascii="Times New Roman" w:hAnsi="Times New Roman" w:eastAsia="Yu Mincho"/>
          <w:b w:val="0"/>
          <w:sz w:val="17"/>
        </w:rPr>
        <w:t>[21] King, A. J.: Crossmodal plasticity and hearing capabilities following blindness, Cell and Tissue Research, Vol.361, No.1, pp.295–300 (2015).</w:t>
      </w:r>
    </w:p>
    <w:p>
      <w:pPr>
        <w:spacing w:after="40" w:line="264" w:lineRule="auto"/>
        <w:ind w:left="360" w:hanging="360"/>
      </w:pPr>
      <w:r>
        <w:rPr>
          <w:rFonts w:ascii="Times New Roman" w:hAnsi="Times New Roman" w:eastAsia="Yu Mincho"/>
          <w:b w:val="0"/>
          <w:sz w:val="17"/>
        </w:rPr>
        <w:t>[22] Frasnelli, J., Collignon, O., Voss, P. and Lepore, F.: Crossmodal plasticity in sensory loss, Progress in Brain Research, Vol.191, pp.233–249 (2011).</w:t>
      </w:r>
    </w:p>
    <w:p>
      <w:pPr>
        <w:spacing w:after="40" w:line="264" w:lineRule="auto"/>
        <w:ind w:left="360" w:hanging="360"/>
      </w:pPr>
      <w:r>
        <w:rPr>
          <w:rFonts w:ascii="Times New Roman" w:hAnsi="Times New Roman" w:eastAsia="Yu Mincho"/>
          <w:b w:val="0"/>
          <w:sz w:val="17"/>
        </w:rPr>
        <w:t>[23] 高尾友季, 丸山礼華, 栗原一貴: 競技かるた詠み音声における合成音声の代替可能性の探索的基礎検討, 研究報告エンタテインメントコンピューティング, Vol.2026-EC-79, No.36, pp.1–8 (2026).</w:t>
      </w:r>
    </w:p>
    <w:sectPr w:rsidR="00FC693F" w:rsidRPr="0006063C" w:rsidSect="00034616">
      <w:type w:val="continuous"/>
      <w:pgSz w:w="11906" w:h="16838"/>
      <w:pgMar w:top="1134" w:right="1020" w:bottom="1134" w:left="1020" w:header="720" w:footer="720" w:gutter="0"/>
      <w:cols w:space="454"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Yu Mincho"/>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